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57" w:rsidRPr="00566757" w:rsidRDefault="00566757" w:rsidP="00483A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566757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Высеянные семена зерновых и зернобобовых культур</w:t>
      </w:r>
      <w:r w:rsidR="00776ED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в Красноярском крае</w:t>
      </w:r>
    </w:p>
    <w:p w:rsidR="00AA20F5" w:rsidRPr="00135ADD" w:rsidRDefault="00BD02B9" w:rsidP="00483A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04204E" w:rsidRPr="00135ADD">
        <w:rPr>
          <w:rFonts w:ascii="Times New Roman" w:hAnsi="Times New Roman" w:cs="Times New Roman"/>
          <w:color w:val="000000"/>
          <w:sz w:val="27"/>
          <w:szCs w:val="27"/>
        </w:rPr>
        <w:t>Красноярском крае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под урожай 2025 года было</w:t>
      </w:r>
      <w:r w:rsidR="0004204E" w:rsidRPr="00135ADD">
        <w:rPr>
          <w:rFonts w:ascii="Times New Roman" w:hAnsi="Times New Roman" w:cs="Times New Roman"/>
          <w:color w:val="000000"/>
          <w:sz w:val="27"/>
          <w:szCs w:val="27"/>
        </w:rPr>
        <w:t> высеяно 19</w:t>
      </w:r>
      <w:r w:rsidR="00C91276">
        <w:rPr>
          <w:rFonts w:ascii="Times New Roman" w:hAnsi="Times New Roman" w:cs="Times New Roman"/>
          <w:color w:val="000000"/>
          <w:sz w:val="27"/>
          <w:szCs w:val="27"/>
        </w:rPr>
        <w:t>3,4</w:t>
      </w:r>
      <w:r w:rsidR="005A1CC2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4204E" w:rsidRPr="00135ADD">
        <w:rPr>
          <w:rFonts w:ascii="Times New Roman" w:hAnsi="Times New Roman" w:cs="Times New Roman"/>
          <w:color w:val="000000"/>
          <w:sz w:val="27"/>
          <w:szCs w:val="27"/>
        </w:rPr>
        <w:t>тыс.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4204E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т семян </w:t>
      </w:r>
      <w:r w:rsidR="00C91276">
        <w:rPr>
          <w:rFonts w:ascii="Times New Roman" w:hAnsi="Times New Roman" w:cs="Times New Roman"/>
          <w:color w:val="000000"/>
          <w:sz w:val="27"/>
          <w:szCs w:val="27"/>
        </w:rPr>
        <w:t xml:space="preserve">зерновых </w:t>
      </w:r>
      <w:r w:rsidR="00C91276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и зернобобовых 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>культур</w:t>
      </w:r>
      <w:r w:rsidR="00C91276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(кроме кукурузы)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з 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этого объема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178,</w:t>
      </w:r>
      <w:r w:rsidR="00483A41" w:rsidRPr="004A2623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тыс. т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составляют семена зерновых</w:t>
      </w:r>
      <w:r w:rsidR="00483A41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и крупяных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17B7E" w:rsidRPr="004A2623">
        <w:rPr>
          <w:rFonts w:ascii="Times New Roman" w:hAnsi="Times New Roman" w:cs="Times New Roman"/>
          <w:color w:val="000000"/>
          <w:sz w:val="27"/>
          <w:szCs w:val="27"/>
        </w:rPr>
        <w:t>14,9</w:t>
      </w:r>
      <w:r w:rsidR="0030507C" w:rsidRPr="004A2623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04204E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тыс. т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83A41" w:rsidRPr="004A2623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зернобобовы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483A41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культур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="00483A41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4A262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разбивке высеянных семян по категориям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оригинальны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е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сем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а составляют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C451E" w:rsidRPr="004A2623">
        <w:rPr>
          <w:rFonts w:ascii="Times New Roman" w:hAnsi="Times New Roman" w:cs="Times New Roman"/>
          <w:color w:val="000000"/>
          <w:sz w:val="27"/>
          <w:szCs w:val="27"/>
        </w:rPr>
        <w:t>3,8</w:t>
      </w:r>
      <w:r w:rsidR="004A262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%, элитны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 w:rsidR="00EC451E" w:rsidRPr="004A2623">
        <w:rPr>
          <w:rFonts w:ascii="Times New Roman" w:hAnsi="Times New Roman" w:cs="Times New Roman"/>
          <w:color w:val="000000"/>
          <w:sz w:val="27"/>
          <w:szCs w:val="27"/>
        </w:rPr>
        <w:t>11,3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%, 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семена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первой - четвертой репродукции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 w:rsidR="00AE0EE7" w:rsidRPr="004A2623">
        <w:rPr>
          <w:rFonts w:ascii="Times New Roman" w:hAnsi="Times New Roman" w:cs="Times New Roman"/>
          <w:color w:val="000000"/>
          <w:sz w:val="27"/>
          <w:szCs w:val="27"/>
        </w:rPr>
        <w:t>76,6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%, а более низких поколений</w:t>
      </w:r>
      <w:r w:rsidR="004A262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(товарные)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несортовы</w:t>
      </w:r>
      <w:r w:rsidRPr="004A2623">
        <w:rPr>
          <w:rFonts w:ascii="Times New Roman" w:hAnsi="Times New Roman" w:cs="Times New Roman"/>
          <w:color w:val="000000"/>
          <w:sz w:val="27"/>
          <w:szCs w:val="27"/>
        </w:rPr>
        <w:t>е</w:t>
      </w:r>
      <w:proofErr w:type="spellEnd"/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 w:rsidR="00565A46" w:rsidRPr="004A2623">
        <w:rPr>
          <w:rFonts w:ascii="Times New Roman" w:hAnsi="Times New Roman" w:cs="Times New Roman"/>
          <w:color w:val="000000"/>
          <w:sz w:val="27"/>
          <w:szCs w:val="27"/>
        </w:rPr>
        <w:t>8,3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255B3" w:rsidRPr="004A2623">
        <w:rPr>
          <w:rFonts w:ascii="Times New Roman" w:hAnsi="Times New Roman" w:cs="Times New Roman"/>
          <w:color w:val="000000"/>
          <w:sz w:val="27"/>
          <w:szCs w:val="27"/>
        </w:rPr>
        <w:t>%.</w:t>
      </w:r>
      <w:r w:rsidR="00B255B3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 </w:t>
      </w:r>
    </w:p>
    <w:p w:rsidR="001E2589" w:rsidRPr="00135ADD" w:rsidRDefault="0030507C" w:rsidP="00483A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Высеянные семена под урожай 2025 года 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>зерновы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культур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в основном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имеют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отечественно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происхождени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более </w:t>
      </w:r>
      <w:r w:rsidR="00D616C5" w:rsidRPr="00135ADD">
        <w:rPr>
          <w:rFonts w:ascii="Times New Roman" w:hAnsi="Times New Roman" w:cs="Times New Roman"/>
          <w:color w:val="000000"/>
          <w:sz w:val="27"/>
          <w:szCs w:val="27"/>
        </w:rPr>
        <w:t>90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%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В частности,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среди них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пшениц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9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4 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>%, ячмен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ь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8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8 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>%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ес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76ED5">
        <w:rPr>
          <w:rFonts w:ascii="Times New Roman" w:hAnsi="Times New Roman" w:cs="Times New Roman"/>
          <w:color w:val="000000"/>
          <w:sz w:val="27"/>
          <w:szCs w:val="27"/>
        </w:rPr>
        <w:t>–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97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%</w:t>
      </w:r>
      <w:r>
        <w:rPr>
          <w:rFonts w:ascii="Times New Roman" w:hAnsi="Times New Roman" w:cs="Times New Roman"/>
          <w:color w:val="000000"/>
          <w:sz w:val="27"/>
          <w:szCs w:val="27"/>
        </w:rPr>
        <w:t>. Доля сортов отечественной селекции гороха посевного составляет –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52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E2589" w:rsidRPr="00135ADD">
        <w:rPr>
          <w:rFonts w:ascii="Times New Roman" w:hAnsi="Times New Roman" w:cs="Times New Roman"/>
          <w:color w:val="000000"/>
          <w:sz w:val="27"/>
          <w:szCs w:val="27"/>
        </w:rPr>
        <w:t>%.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4825DD" w:rsidRPr="00135ADD" w:rsidRDefault="00E02D21" w:rsidP="00483A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35ADD">
        <w:rPr>
          <w:rFonts w:ascii="Times New Roman" w:hAnsi="Times New Roman" w:cs="Times New Roman"/>
          <w:color w:val="000000"/>
          <w:sz w:val="27"/>
          <w:szCs w:val="27"/>
        </w:rPr>
        <w:t>Наиболее распространенными</w:t>
      </w:r>
      <w:r w:rsidR="004825D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культурами в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регионе</w:t>
      </w:r>
      <w:r w:rsidR="004825D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остаются яровые зерновые. В этом году высеяно 46 сортов яровой мягкой пшеницы,</w:t>
      </w:r>
      <w:r w:rsidR="004E2235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по одному сорту </w:t>
      </w:r>
      <w:bookmarkStart w:id="0" w:name="_GoBack"/>
      <w:bookmarkEnd w:id="0"/>
      <w:r w:rsidR="004E2235" w:rsidRPr="00135ADD">
        <w:rPr>
          <w:rFonts w:ascii="Times New Roman" w:hAnsi="Times New Roman" w:cs="Times New Roman"/>
          <w:color w:val="000000"/>
          <w:sz w:val="27"/>
          <w:szCs w:val="27"/>
        </w:rPr>
        <w:t>твердой и озимой (</w:t>
      </w:r>
      <w:proofErr w:type="spellStart"/>
      <w:r w:rsidR="004E2235" w:rsidRPr="00135ADD">
        <w:rPr>
          <w:rFonts w:ascii="Times New Roman" w:hAnsi="Times New Roman" w:cs="Times New Roman"/>
          <w:color w:val="000000"/>
          <w:sz w:val="27"/>
          <w:szCs w:val="27"/>
        </w:rPr>
        <w:t>двуручки</w:t>
      </w:r>
      <w:proofErr w:type="spellEnd"/>
      <w:r w:rsidR="004E2235" w:rsidRPr="00135ADD">
        <w:rPr>
          <w:rFonts w:ascii="Times New Roman" w:hAnsi="Times New Roman" w:cs="Times New Roman"/>
          <w:color w:val="000000"/>
          <w:sz w:val="27"/>
          <w:szCs w:val="27"/>
        </w:rPr>
        <w:t>) пшеницы</w:t>
      </w:r>
      <w:r w:rsidR="00E937E5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, из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которых</w:t>
      </w:r>
      <w:r w:rsidR="00E937E5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32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сорта являются результатом</w:t>
      </w:r>
      <w:r w:rsidR="00E937E5" w:rsidRPr="00135ADD">
        <w:rPr>
          <w:rFonts w:ascii="Times New Roman" w:hAnsi="Times New Roman" w:cs="Times New Roman"/>
          <w:color w:val="000000"/>
          <w:sz w:val="27"/>
          <w:szCs w:val="27"/>
        </w:rPr>
        <w:t> отечественной селекции.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Значительную часть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сортовых посев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пшеницы 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>занимают сорта новосибирской селекции: Новосибирская 31, Новосибирская 41, Новосибирская 1</w:t>
      </w:r>
      <w:r w:rsidR="009B5117" w:rsidRPr="00135ADD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>. (</w:t>
      </w:r>
      <w:r w:rsidR="004A2623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1832FD" w:rsidRPr="00135ADD">
        <w:rPr>
          <w:rFonts w:ascii="Times New Roman" w:hAnsi="Times New Roman" w:cs="Times New Roman"/>
          <w:color w:val="000000"/>
          <w:sz w:val="27"/>
          <w:szCs w:val="27"/>
        </w:rPr>
        <w:t>ис. 1).</w:t>
      </w:r>
    </w:p>
    <w:p w:rsidR="00C807AC" w:rsidRDefault="00C807AC" w:rsidP="00566757">
      <w:pPr>
        <w:ind w:firstLine="709"/>
        <w:jc w:val="center"/>
      </w:pPr>
      <w:r w:rsidRPr="00C807AC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807AC" w:rsidRPr="004A2623" w:rsidRDefault="00C807AC" w:rsidP="00566757">
      <w:pPr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4A2623">
        <w:rPr>
          <w:rFonts w:ascii="Times New Roman" w:hAnsi="Times New Roman" w:cs="Times New Roman"/>
          <w:b/>
          <w:bCs/>
          <w:color w:val="000000"/>
        </w:rPr>
        <w:t>Рис. 1 Соотношение объемов отечественных сортов</w:t>
      </w:r>
      <w:r w:rsidR="004A2623">
        <w:rPr>
          <w:rFonts w:ascii="Times New Roman" w:hAnsi="Times New Roman" w:cs="Times New Roman"/>
          <w:b/>
          <w:bCs/>
          <w:color w:val="000000"/>
        </w:rPr>
        <w:t xml:space="preserve"> пшеницы яровой</w:t>
      </w:r>
      <w:r w:rsidRPr="004A2623">
        <w:rPr>
          <w:rFonts w:ascii="Times New Roman" w:hAnsi="Times New Roman" w:cs="Times New Roman"/>
          <w:b/>
          <w:bCs/>
          <w:color w:val="000000"/>
        </w:rPr>
        <w:t>, выс</w:t>
      </w:r>
      <w:r w:rsidR="004A2623">
        <w:rPr>
          <w:rFonts w:ascii="Times New Roman" w:hAnsi="Times New Roman" w:cs="Times New Roman"/>
          <w:b/>
          <w:bCs/>
          <w:color w:val="000000"/>
        </w:rPr>
        <w:t>еянной</w:t>
      </w:r>
      <w:r w:rsidRPr="004A2623">
        <w:rPr>
          <w:rFonts w:ascii="Times New Roman" w:hAnsi="Times New Roman" w:cs="Times New Roman"/>
          <w:b/>
          <w:bCs/>
          <w:color w:val="000000"/>
        </w:rPr>
        <w:t xml:space="preserve"> в Красноярском крае в 2025 году, %</w:t>
      </w:r>
    </w:p>
    <w:p w:rsidR="00D209CF" w:rsidRPr="00135ADD" w:rsidRDefault="00271253" w:rsidP="00566757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качестве семенного материала ячменя было использовано 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>19 сортов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лишь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6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относятся к 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отечественной селекции.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Лидирует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сорт Биом (новосибирской селекции)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который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занимает 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69 % от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обще</w:t>
      </w:r>
      <w:r w:rsidR="004A2623">
        <w:rPr>
          <w:rFonts w:ascii="Times New Roman" w:hAnsi="Times New Roman" w:cs="Times New Roman"/>
          <w:color w:val="000000"/>
          <w:sz w:val="27"/>
          <w:szCs w:val="27"/>
        </w:rPr>
        <w:t xml:space="preserve">й площади высеянного 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>ячменя (</w:t>
      </w:r>
      <w:r w:rsidR="004A2623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D209CF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ис. 2). </w:t>
      </w:r>
    </w:p>
    <w:p w:rsidR="00D209CF" w:rsidRDefault="00D209CF" w:rsidP="00566757">
      <w:pPr>
        <w:ind w:firstLine="709"/>
        <w:jc w:val="center"/>
      </w:pPr>
      <w:r w:rsidRPr="00D209CF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09CF" w:rsidRPr="004A2623" w:rsidRDefault="00D209CF" w:rsidP="00566757">
      <w:pPr>
        <w:ind w:firstLine="709"/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Рис. </w:t>
      </w:r>
      <w:r w:rsidR="004A2623" w:rsidRP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2 Соотношение</w:t>
      </w:r>
      <w:r w:rsidRP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объемов семян ячменя, высеянн</w:t>
      </w:r>
      <w:r w:rsid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ых</w:t>
      </w:r>
      <w:r w:rsidRP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в Красноярском крае</w:t>
      </w:r>
      <w:r w:rsid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в 2025 году, %</w:t>
      </w:r>
      <w:r w:rsidRPr="004A262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</w:t>
      </w:r>
    </w:p>
    <w:p w:rsidR="003C2B01" w:rsidRPr="00135ADD" w:rsidRDefault="00271253" w:rsidP="00566757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2025 году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было 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>ысеяно 1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сортов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овса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из которых 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13 </w:t>
      </w:r>
      <w:r w:rsidR="00E02D21" w:rsidRPr="00135ADD">
        <w:rPr>
          <w:rFonts w:ascii="Times New Roman" w:hAnsi="Times New Roman" w:cs="Times New Roman"/>
          <w:color w:val="000000"/>
          <w:sz w:val="27"/>
          <w:szCs w:val="27"/>
        </w:rPr>
        <w:t>являются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отечественной сел</w:t>
      </w:r>
      <w:r w:rsidR="002D4941" w:rsidRPr="00135ADD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кци</w:t>
      </w:r>
      <w:r w:rsidR="002D4941" w:rsidRPr="00135ADD">
        <w:rPr>
          <w:rFonts w:ascii="Times New Roman" w:hAnsi="Times New Roman" w:cs="Times New Roman"/>
          <w:color w:val="000000"/>
          <w:sz w:val="27"/>
          <w:szCs w:val="27"/>
        </w:rPr>
        <w:t>ей. Наиболее распространен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со</w:t>
      </w:r>
      <w:r w:rsidR="002D494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рт Саян (красноярской селекции), который составляет 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69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% от объёма сортового овса (</w:t>
      </w:r>
      <w:r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>ис.</w:t>
      </w:r>
      <w:r w:rsidR="00B318C8" w:rsidRPr="00135ADD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3C2B01" w:rsidRPr="00135ADD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B318C8" w:rsidRDefault="00B318C8" w:rsidP="00566757">
      <w:pPr>
        <w:ind w:firstLine="709"/>
        <w:jc w:val="center"/>
      </w:pPr>
      <w:r w:rsidRPr="00B318C8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18C8" w:rsidRPr="00271253" w:rsidRDefault="00B318C8" w:rsidP="00566757">
      <w:pPr>
        <w:ind w:firstLine="709"/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Рис. 3 Соотношение объемов семян овса, высеянн</w:t>
      </w:r>
      <w:r w:rsid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ых</w:t>
      </w:r>
      <w:r w:rsidRP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в Красноярском крае </w:t>
      </w:r>
      <w:r w:rsid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в 2025 году, %</w:t>
      </w:r>
    </w:p>
    <w:p w:rsidR="007F73AD" w:rsidRPr="00135ADD" w:rsidRDefault="00802E64" w:rsidP="00566757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Помимо 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>зерновы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х, в крае также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возделываются и другие культуры.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текущем году горох высеян на площади 54,</w:t>
      </w:r>
      <w:r w:rsidR="00271253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тыс. га. Для посева использовались семена 27 сортов, из которых </w:t>
      </w:r>
      <w:r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11 относятся к 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отечественной селекции. Наиболее распространены сорта Ямальский (тюменской селекции), Томас (тюменской селекции), </w:t>
      </w:r>
      <w:proofErr w:type="spellStart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>Тренди</w:t>
      </w:r>
      <w:proofErr w:type="spellEnd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(зарубежной селекции), </w:t>
      </w:r>
      <w:proofErr w:type="spellStart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>Рокет</w:t>
      </w:r>
      <w:proofErr w:type="spellEnd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(зарубежной селекции), </w:t>
      </w:r>
      <w:proofErr w:type="spellStart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>Лумп</w:t>
      </w:r>
      <w:proofErr w:type="spellEnd"/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 (зарубежной селекции) (</w:t>
      </w:r>
      <w:r w:rsidR="00271253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7F73AD" w:rsidRPr="00135ADD">
        <w:rPr>
          <w:rFonts w:ascii="Times New Roman" w:hAnsi="Times New Roman" w:cs="Times New Roman"/>
          <w:color w:val="000000"/>
          <w:sz w:val="27"/>
          <w:szCs w:val="27"/>
        </w:rPr>
        <w:t xml:space="preserve">ис.4). </w:t>
      </w:r>
    </w:p>
    <w:p w:rsidR="0050102A" w:rsidRDefault="0050102A" w:rsidP="00271253">
      <w:pPr>
        <w:ind w:firstLine="709"/>
        <w:jc w:val="center"/>
      </w:pPr>
      <w:r w:rsidRPr="0050102A"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1253" w:rsidRPr="00271253" w:rsidRDefault="00271253" w:rsidP="00271253">
      <w:pPr>
        <w:ind w:firstLine="709"/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Рис. 3 Соотношение объемов семян 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гороха</w:t>
      </w:r>
      <w:r w:rsidRP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, высеянн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ых</w:t>
      </w:r>
      <w:r w:rsidRPr="00271253"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 xml:space="preserve"> в Красноярском крае </w:t>
      </w:r>
      <w:r>
        <w:rPr>
          <w:rStyle w:val="a5"/>
          <w:rFonts w:ascii="Times New Roman" w:hAnsi="Times New Roman" w:cs="Times New Roman"/>
          <w:b/>
          <w:bCs/>
          <w:i w:val="0"/>
          <w:iCs w:val="0"/>
          <w:color w:val="000000"/>
        </w:rPr>
        <w:t>в 2025 году, %</w:t>
      </w:r>
    </w:p>
    <w:p w:rsidR="00271253" w:rsidRPr="00271253" w:rsidRDefault="00271253" w:rsidP="00271253">
      <w:pPr>
        <w:ind w:firstLine="709"/>
        <w:jc w:val="center"/>
      </w:pPr>
    </w:p>
    <w:sectPr w:rsidR="00271253" w:rsidRPr="00271253" w:rsidSect="00566757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04E"/>
    <w:rsid w:val="0004204E"/>
    <w:rsid w:val="000E4067"/>
    <w:rsid w:val="001172AE"/>
    <w:rsid w:val="00135ADD"/>
    <w:rsid w:val="001832FD"/>
    <w:rsid w:val="001E2589"/>
    <w:rsid w:val="00227C32"/>
    <w:rsid w:val="00271253"/>
    <w:rsid w:val="002D4941"/>
    <w:rsid w:val="0030507C"/>
    <w:rsid w:val="003153B3"/>
    <w:rsid w:val="003C2B01"/>
    <w:rsid w:val="003C7BF4"/>
    <w:rsid w:val="004825DD"/>
    <w:rsid w:val="00483A41"/>
    <w:rsid w:val="004A2623"/>
    <w:rsid w:val="004E2235"/>
    <w:rsid w:val="0050102A"/>
    <w:rsid w:val="005047CA"/>
    <w:rsid w:val="00565A46"/>
    <w:rsid w:val="00566757"/>
    <w:rsid w:val="005A1CC2"/>
    <w:rsid w:val="005D6373"/>
    <w:rsid w:val="00603882"/>
    <w:rsid w:val="00776ED5"/>
    <w:rsid w:val="007F73AD"/>
    <w:rsid w:val="00801B27"/>
    <w:rsid w:val="00802E64"/>
    <w:rsid w:val="009B5117"/>
    <w:rsid w:val="009B53AF"/>
    <w:rsid w:val="009E6020"/>
    <w:rsid w:val="00A17B7E"/>
    <w:rsid w:val="00AA20F5"/>
    <w:rsid w:val="00AE0EE7"/>
    <w:rsid w:val="00B255B3"/>
    <w:rsid w:val="00B318C8"/>
    <w:rsid w:val="00B42D17"/>
    <w:rsid w:val="00BD02B9"/>
    <w:rsid w:val="00C0453C"/>
    <w:rsid w:val="00C807AC"/>
    <w:rsid w:val="00C91276"/>
    <w:rsid w:val="00D209CF"/>
    <w:rsid w:val="00D616C5"/>
    <w:rsid w:val="00E02D21"/>
    <w:rsid w:val="00E937E5"/>
    <w:rsid w:val="00EC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7A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D209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%20&#1087;&#1086;%20&#1074;&#1099;&#1089;&#1077;&#1103;&#1085;&#1085;&#1099;&#1084;%202025%20&#1075;\&#1055;&#1088;&#1080;&#1083;&#1086;&#1078;&#1077;&#1085;&#1080;&#1077;%202%20&#1089;%20&#1088;&#1072;&#1089;&#1095;&#1077;&#1090;&#1072;&#1084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72;&#1085;&#1095;&#1072;&#1090;\Desktop\&#1057;&#1090;&#1072;&#1090;&#1100;&#1103;%20&#1087;&#1086;%20&#1079;&#1077;&#1088;&#1085;&#1086;&#1074;&#1099;&#1084;\&#1055;&#1088;&#1080;&#1083;&#1086;&#1078;&#1077;&#1085;&#1080;&#1077;%202%20&#1089;%20&#1088;&#1072;&#1089;&#1095;&#1077;&#1090;&#1072;&#1084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72;&#1085;&#1095;&#1072;&#1090;\Desktop\&#1057;&#1090;&#1072;&#1090;&#1100;&#1103;%20&#1087;&#1086;%20&#1079;&#1077;&#1088;&#1085;&#1086;&#1074;&#1099;&#1084;\&#1055;&#1088;&#1080;&#1083;&#1086;&#1078;&#1077;&#1085;&#1080;&#1077;%202%20&#1089;%20&#1088;&#1072;&#1089;&#1095;&#1077;&#1090;&#1072;&#1084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72;&#1085;&#1095;&#1072;&#1090;\Desktop\&#1057;&#1090;&#1072;&#1090;&#1100;&#1103;%20&#1087;&#1086;%20&#1079;&#1077;&#1088;&#1085;&#1086;&#1074;&#1099;&#1084;\&#1055;&#1088;&#1080;&#1083;&#1086;&#1078;&#1077;&#1085;&#1080;&#1077;%202%20&#1089;%20&#1088;&#1072;&#1089;&#1095;&#1077;&#1090;&#1072;&#1084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Пшеница!$G$3:$G$9</c:f>
              <c:strCache>
                <c:ptCount val="7"/>
                <c:pt idx="0">
                  <c:v>Новосибирская 41</c:v>
                </c:pt>
                <c:pt idx="1">
                  <c:v>Новосибирская 31</c:v>
                </c:pt>
                <c:pt idx="2">
                  <c:v>Новосибирская 16</c:v>
                </c:pt>
                <c:pt idx="3">
                  <c:v>Экстра</c:v>
                </c:pt>
                <c:pt idx="4">
                  <c:v>Новосибирская 15</c:v>
                </c:pt>
                <c:pt idx="5">
                  <c:v>Ирень</c:v>
                </c:pt>
                <c:pt idx="6">
                  <c:v>Прочие</c:v>
                </c:pt>
              </c:strCache>
            </c:strRef>
          </c:cat>
          <c:val>
            <c:numRef>
              <c:f>Пшеница!$H$3:$H$9</c:f>
              <c:numCache>
                <c:formatCode>General</c:formatCode>
                <c:ptCount val="7"/>
                <c:pt idx="0" formatCode="0.00">
                  <c:v>22.51</c:v>
                </c:pt>
                <c:pt idx="1">
                  <c:v>22.27</c:v>
                </c:pt>
                <c:pt idx="2" formatCode="0.00">
                  <c:v>12.73</c:v>
                </c:pt>
                <c:pt idx="3">
                  <c:v>10.6</c:v>
                </c:pt>
                <c:pt idx="4">
                  <c:v>8.91</c:v>
                </c:pt>
                <c:pt idx="5" formatCode="0.00">
                  <c:v>5.01</c:v>
                </c:pt>
                <c:pt idx="6" formatCode="0.00">
                  <c:v>17.974085999659831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1D-4FA3-8D10-69B488606937}"/>
            </c:ext>
          </c:extLst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Ячмень!$H$2:$H$6</c:f>
              <c:strCache>
                <c:ptCount val="5"/>
                <c:pt idx="0">
                  <c:v>Биом</c:v>
                </c:pt>
                <c:pt idx="1">
                  <c:v>Ача</c:v>
                </c:pt>
                <c:pt idx="2">
                  <c:v>Танай</c:v>
                </c:pt>
                <c:pt idx="3">
                  <c:v>Эксплоер</c:v>
                </c:pt>
                <c:pt idx="4">
                  <c:v>Прочие</c:v>
                </c:pt>
              </c:strCache>
            </c:strRef>
          </c:cat>
          <c:val>
            <c:numRef>
              <c:f>Ячмень!$I$2:$I$6</c:f>
              <c:numCache>
                <c:formatCode>General</c:formatCode>
                <c:ptCount val="5"/>
                <c:pt idx="0">
                  <c:v>69.319999999999993</c:v>
                </c:pt>
                <c:pt idx="1">
                  <c:v>12.12</c:v>
                </c:pt>
                <c:pt idx="2">
                  <c:v>3.4499999999999997</c:v>
                </c:pt>
                <c:pt idx="3">
                  <c:v>2.2200000000000002</c:v>
                </c:pt>
                <c:pt idx="4" formatCode="0.00">
                  <c:v>12.886507516407457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A9-43E9-9CB9-6047DA7409A2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Овес!$H$3:$H$7</c:f>
              <c:strCache>
                <c:ptCount val="5"/>
                <c:pt idx="0">
                  <c:v>Саян</c:v>
                </c:pt>
                <c:pt idx="1">
                  <c:v>Ровесник</c:v>
                </c:pt>
                <c:pt idx="2">
                  <c:v>Сиг</c:v>
                </c:pt>
                <c:pt idx="3">
                  <c:v>Авеню</c:v>
                </c:pt>
                <c:pt idx="4">
                  <c:v>Прочие</c:v>
                </c:pt>
              </c:strCache>
            </c:strRef>
          </c:cat>
          <c:val>
            <c:numRef>
              <c:f>Овес!$I$3:$I$7</c:f>
              <c:numCache>
                <c:formatCode>General</c:formatCode>
                <c:ptCount val="5"/>
                <c:pt idx="0">
                  <c:v>69.260000000000005</c:v>
                </c:pt>
                <c:pt idx="1">
                  <c:v>22.53</c:v>
                </c:pt>
                <c:pt idx="2">
                  <c:v>2.75</c:v>
                </c:pt>
                <c:pt idx="3">
                  <c:v>1.35</c:v>
                </c:pt>
                <c:pt idx="4" formatCode="0.00">
                  <c:v>4.105610498532811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E0-4AF3-934D-6410E424EA3E}"/>
            </c:ext>
          </c:extLst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Горох!$G$2:$G$7</c:f>
              <c:strCache>
                <c:ptCount val="6"/>
                <c:pt idx="0">
                  <c:v>Ямальский</c:v>
                </c:pt>
                <c:pt idx="1">
                  <c:v>Томас</c:v>
                </c:pt>
                <c:pt idx="2">
                  <c:v>Тренди</c:v>
                </c:pt>
                <c:pt idx="3">
                  <c:v>Рокет</c:v>
                </c:pt>
                <c:pt idx="4">
                  <c:v>Лумп</c:v>
                </c:pt>
                <c:pt idx="5">
                  <c:v>Прочие</c:v>
                </c:pt>
              </c:strCache>
            </c:strRef>
          </c:cat>
          <c:val>
            <c:numRef>
              <c:f>Горох!$H$2:$H$7</c:f>
              <c:numCache>
                <c:formatCode>General</c:formatCode>
                <c:ptCount val="6"/>
                <c:pt idx="0">
                  <c:v>13.850000000000007</c:v>
                </c:pt>
                <c:pt idx="1">
                  <c:v>12.77</c:v>
                </c:pt>
                <c:pt idx="2">
                  <c:v>10.8</c:v>
                </c:pt>
                <c:pt idx="3">
                  <c:v>8.9600000000000026</c:v>
                </c:pt>
                <c:pt idx="4">
                  <c:v>8.43</c:v>
                </c:pt>
                <c:pt idx="5" formatCode="0.00">
                  <c:v>45.193043644650103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E2-46A0-9D1D-B57ACB72426A}"/>
            </c:ext>
          </c:extLst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санчат</dc:creator>
  <cp:lastModifiedBy>Малинникова АА</cp:lastModifiedBy>
  <cp:revision>2</cp:revision>
  <dcterms:created xsi:type="dcterms:W3CDTF">2025-08-10T13:01:00Z</dcterms:created>
  <dcterms:modified xsi:type="dcterms:W3CDTF">2025-08-10T13:01:00Z</dcterms:modified>
</cp:coreProperties>
</file>