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4C" w:rsidRPr="001571E5" w:rsidRDefault="001571E5" w:rsidP="001571E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1E5">
        <w:rPr>
          <w:rFonts w:ascii="Times New Roman" w:hAnsi="Times New Roman"/>
          <w:b/>
          <w:sz w:val="28"/>
          <w:szCs w:val="28"/>
        </w:rPr>
        <w:t>Сорта картофеля, возделываемые в Красноярском крае и инфицированность их возбудителями заболеваний</w:t>
      </w:r>
    </w:p>
    <w:p w:rsidR="0035504C" w:rsidRPr="001571E5" w:rsidRDefault="0035504C" w:rsidP="001571E5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E6245A" w:rsidTr="008964B9">
        <w:trPr>
          <w:trHeight w:val="2689"/>
        </w:trPr>
        <w:tc>
          <w:tcPr>
            <w:tcW w:w="4644" w:type="dxa"/>
          </w:tcPr>
          <w:p w:rsidR="00E6245A" w:rsidRDefault="00EB32C0" w:rsidP="00E6245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32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9175" cy="1900521"/>
                  <wp:effectExtent l="19050" t="0" r="0" b="0"/>
                  <wp:docPr id="6" name="Рисунок 3" descr="\\alex\d\фото\2017\Емельяновский\Фото защита\20170726_113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lex\d\фото\2017\Емельяновский\Фото защита\20170726_113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175" cy="1900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503" w:rsidTr="008964B9">
        <w:trPr>
          <w:trHeight w:val="862"/>
        </w:trPr>
        <w:tc>
          <w:tcPr>
            <w:tcW w:w="4644" w:type="dxa"/>
          </w:tcPr>
          <w:p w:rsidR="00C30503" w:rsidRPr="00865745" w:rsidRDefault="00CB6D70" w:rsidP="008964B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Фото 1</w:t>
            </w:r>
            <w:r w:rsidR="00EB32C0" w:rsidRPr="00865745">
              <w:rPr>
                <w:rFonts w:ascii="Times New Roman" w:hAnsi="Times New Roman"/>
                <w:b/>
                <w:sz w:val="18"/>
                <w:szCs w:val="18"/>
              </w:rPr>
              <w:t xml:space="preserve"> Начальник Емельяновского межрайонного </w:t>
            </w:r>
            <w:r w:rsidR="00CE2D1F" w:rsidRPr="00865745">
              <w:rPr>
                <w:rFonts w:ascii="Times New Roman" w:hAnsi="Times New Roman"/>
                <w:b/>
                <w:sz w:val="18"/>
                <w:szCs w:val="18"/>
              </w:rPr>
              <w:t xml:space="preserve">отдела Колмаков А. </w:t>
            </w:r>
            <w:r w:rsidR="003F75B9">
              <w:rPr>
                <w:rFonts w:ascii="Times New Roman" w:hAnsi="Times New Roman"/>
                <w:b/>
                <w:sz w:val="18"/>
                <w:szCs w:val="18"/>
              </w:rPr>
              <w:t>А. и ведущий</w:t>
            </w:r>
            <w:r w:rsidR="00CE2D1F" w:rsidRPr="00865745">
              <w:rPr>
                <w:rFonts w:ascii="Times New Roman" w:hAnsi="Times New Roman"/>
                <w:b/>
                <w:sz w:val="18"/>
                <w:szCs w:val="18"/>
              </w:rPr>
              <w:t xml:space="preserve"> агро</w:t>
            </w:r>
            <w:r w:rsidR="00EB32C0" w:rsidRPr="00865745">
              <w:rPr>
                <w:rFonts w:ascii="Times New Roman" w:hAnsi="Times New Roman"/>
                <w:b/>
                <w:sz w:val="18"/>
                <w:szCs w:val="18"/>
              </w:rPr>
              <w:t>ном от</w:t>
            </w:r>
            <w:r w:rsidR="00CE2D1F" w:rsidRPr="00865745">
              <w:rPr>
                <w:rFonts w:ascii="Times New Roman" w:hAnsi="Times New Roman"/>
                <w:b/>
                <w:sz w:val="18"/>
                <w:szCs w:val="18"/>
              </w:rPr>
              <w:t>дела защиты растений филиала Гришаева М. Е</w:t>
            </w:r>
            <w:r w:rsidR="00EB32C0" w:rsidRPr="00865745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="00CE2D1F" w:rsidRPr="00865745">
              <w:rPr>
                <w:rFonts w:ascii="Times New Roman" w:hAnsi="Times New Roman"/>
                <w:b/>
                <w:sz w:val="18"/>
                <w:szCs w:val="18"/>
              </w:rPr>
              <w:t>проводят обследования посадок картофеля</w:t>
            </w:r>
          </w:p>
        </w:tc>
      </w:tr>
    </w:tbl>
    <w:p w:rsidR="00C30503" w:rsidRPr="00865745" w:rsidRDefault="0035504C" w:rsidP="0078493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CD6A25">
        <w:rPr>
          <w:rFonts w:ascii="Times New Roman" w:hAnsi="Times New Roman"/>
          <w:sz w:val="28"/>
          <w:szCs w:val="28"/>
        </w:rPr>
        <w:t>П</w:t>
      </w:r>
      <w:r w:rsidR="00C30503" w:rsidRPr="00865745">
        <w:rPr>
          <w:rFonts w:ascii="Times New Roman" w:hAnsi="Times New Roman"/>
          <w:sz w:val="28"/>
          <w:szCs w:val="28"/>
        </w:rPr>
        <w:t xml:space="preserve">роизводственные посадки картофеля в крае </w:t>
      </w:r>
      <w:r w:rsidR="00CD6A25">
        <w:rPr>
          <w:rFonts w:ascii="Times New Roman" w:hAnsi="Times New Roman"/>
          <w:sz w:val="28"/>
          <w:szCs w:val="28"/>
        </w:rPr>
        <w:t>в</w:t>
      </w:r>
      <w:r w:rsidR="00CD6A25" w:rsidRPr="00865745">
        <w:rPr>
          <w:rFonts w:ascii="Times New Roman" w:hAnsi="Times New Roman"/>
          <w:sz w:val="28"/>
          <w:szCs w:val="28"/>
        </w:rPr>
        <w:t xml:space="preserve"> 2018 году </w:t>
      </w:r>
      <w:r w:rsidR="00436DD8">
        <w:rPr>
          <w:rFonts w:ascii="Times New Roman" w:hAnsi="Times New Roman"/>
          <w:sz w:val="28"/>
          <w:szCs w:val="28"/>
        </w:rPr>
        <w:t>занимают</w:t>
      </w:r>
      <w:r w:rsidR="00C30503" w:rsidRPr="00865745">
        <w:rPr>
          <w:rFonts w:ascii="Times New Roman" w:hAnsi="Times New Roman"/>
          <w:sz w:val="28"/>
          <w:szCs w:val="28"/>
        </w:rPr>
        <w:t xml:space="preserve"> </w:t>
      </w:r>
      <w:r w:rsidR="0046174E">
        <w:rPr>
          <w:rFonts w:ascii="Times New Roman" w:hAnsi="Times New Roman"/>
          <w:sz w:val="28"/>
          <w:szCs w:val="28"/>
        </w:rPr>
        <w:t>5,68</w:t>
      </w:r>
      <w:r w:rsidR="00C30503" w:rsidRPr="00865745">
        <w:rPr>
          <w:rFonts w:ascii="Times New Roman" w:hAnsi="Times New Roman"/>
          <w:sz w:val="28"/>
          <w:szCs w:val="28"/>
        </w:rPr>
        <w:t xml:space="preserve"> тыс. га, при этом 60% площадей приходится на сельскохозяйственные предприятия</w:t>
      </w:r>
      <w:r w:rsidR="00ED7CAC" w:rsidRPr="00865745">
        <w:rPr>
          <w:rFonts w:ascii="Times New Roman" w:hAnsi="Times New Roman"/>
          <w:sz w:val="28"/>
          <w:szCs w:val="28"/>
        </w:rPr>
        <w:t>,</w:t>
      </w:r>
      <w:r w:rsidR="00C30503" w:rsidRPr="00865745">
        <w:rPr>
          <w:rFonts w:ascii="Times New Roman" w:hAnsi="Times New Roman"/>
          <w:sz w:val="28"/>
          <w:szCs w:val="28"/>
        </w:rPr>
        <w:t xml:space="preserve"> 40% на крестьян</w:t>
      </w:r>
      <w:r w:rsidR="00ED7CAC" w:rsidRPr="00865745">
        <w:rPr>
          <w:rFonts w:ascii="Times New Roman" w:hAnsi="Times New Roman"/>
          <w:sz w:val="28"/>
          <w:szCs w:val="28"/>
        </w:rPr>
        <w:t>ско-фермерские</w:t>
      </w:r>
      <w:r w:rsidR="00C30503" w:rsidRPr="00865745">
        <w:rPr>
          <w:rFonts w:ascii="Times New Roman" w:hAnsi="Times New Roman"/>
          <w:sz w:val="28"/>
          <w:szCs w:val="28"/>
        </w:rPr>
        <w:t xml:space="preserve"> хозяйства и индивидуальных предпринимателей. </w:t>
      </w:r>
    </w:p>
    <w:p w:rsidR="00ED7CAC" w:rsidRDefault="00ED7CAC" w:rsidP="0076782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5745">
        <w:rPr>
          <w:rFonts w:ascii="Times New Roman" w:hAnsi="Times New Roman"/>
          <w:sz w:val="28"/>
          <w:szCs w:val="28"/>
        </w:rPr>
        <w:tab/>
        <w:t>Специалисты районных и межрайонных отделов филиала ФГБУ «Россельхозцентр» по Красноярскому краю проводят исследования семенного материала, а так же осуществляют фитосанитарный мониторинг посевов картофеля. По данным филиала весной 2018 года было высажено 14,9 тыс. т картофеля, при этом доля сортовых семян составил</w:t>
      </w:r>
      <w:r w:rsidR="00436DD8">
        <w:rPr>
          <w:rFonts w:ascii="Times New Roman" w:hAnsi="Times New Roman"/>
          <w:sz w:val="28"/>
          <w:szCs w:val="28"/>
        </w:rPr>
        <w:t>а</w:t>
      </w:r>
      <w:r w:rsidRPr="00865745">
        <w:rPr>
          <w:rFonts w:ascii="Times New Roman" w:hAnsi="Times New Roman"/>
          <w:sz w:val="28"/>
          <w:szCs w:val="28"/>
        </w:rPr>
        <w:t xml:space="preserve"> лишь 23%</w:t>
      </w:r>
      <w:r w:rsidR="00207157" w:rsidRPr="00865745">
        <w:rPr>
          <w:rFonts w:ascii="Times New Roman" w:hAnsi="Times New Roman"/>
          <w:sz w:val="28"/>
          <w:szCs w:val="28"/>
        </w:rPr>
        <w:t xml:space="preserve"> (основная доля несортовых </w:t>
      </w:r>
      <w:r w:rsidR="00865745" w:rsidRPr="00865745">
        <w:rPr>
          <w:rFonts w:ascii="Times New Roman" w:hAnsi="Times New Roman"/>
          <w:sz w:val="28"/>
          <w:szCs w:val="28"/>
        </w:rPr>
        <w:t>семян</w:t>
      </w:r>
      <w:r w:rsidR="00207157" w:rsidRPr="00865745">
        <w:rPr>
          <w:rFonts w:ascii="Times New Roman" w:hAnsi="Times New Roman"/>
          <w:sz w:val="28"/>
          <w:szCs w:val="28"/>
        </w:rPr>
        <w:t xml:space="preserve"> приходится на КФХ и ИП – 95%). </w:t>
      </w:r>
      <w:r w:rsidR="00794DF7">
        <w:rPr>
          <w:rFonts w:ascii="Times New Roman" w:hAnsi="Times New Roman"/>
          <w:sz w:val="28"/>
          <w:szCs w:val="28"/>
        </w:rPr>
        <w:t xml:space="preserve">Всего в крае были высажены семена 24 сортов, основной объем из которых (93%) пришелся на сорта иностранной селекции. </w:t>
      </w:r>
      <w:r w:rsidR="00436DD8">
        <w:rPr>
          <w:rFonts w:ascii="Times New Roman" w:hAnsi="Times New Roman"/>
          <w:sz w:val="28"/>
          <w:szCs w:val="28"/>
        </w:rPr>
        <w:t>Наиболее популярным у сельхозпроизводителей края является сорт</w:t>
      </w:r>
      <w:proofErr w:type="gramStart"/>
      <w:r w:rsidR="00436DD8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="00436DD8">
        <w:rPr>
          <w:rFonts w:ascii="Times New Roman" w:hAnsi="Times New Roman"/>
          <w:sz w:val="28"/>
          <w:szCs w:val="28"/>
        </w:rPr>
        <w:t>ала, на долю которого приходится более половины высаженного картофеля</w:t>
      </w:r>
      <w:r w:rsidR="0020232F">
        <w:rPr>
          <w:rFonts w:ascii="Times New Roman" w:hAnsi="Times New Roman"/>
          <w:sz w:val="28"/>
          <w:szCs w:val="28"/>
        </w:rPr>
        <w:t>, а так же сорта Молли, Королева Анна, Ред Скарлет, Вега и Венди</w:t>
      </w:r>
      <w:r w:rsidR="00594C3C">
        <w:rPr>
          <w:rFonts w:ascii="Times New Roman" w:hAnsi="Times New Roman"/>
          <w:sz w:val="28"/>
          <w:szCs w:val="28"/>
        </w:rPr>
        <w:t xml:space="preserve">. </w:t>
      </w:r>
      <w:r w:rsidR="00B74616">
        <w:rPr>
          <w:rFonts w:ascii="Times New Roman" w:hAnsi="Times New Roman"/>
          <w:sz w:val="28"/>
          <w:szCs w:val="28"/>
        </w:rPr>
        <w:t>Исследования семян</w:t>
      </w:r>
    </w:p>
    <w:p w:rsidR="002356F0" w:rsidRDefault="002356F0" w:rsidP="0076782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33683" w:rsidTr="008964B9">
        <w:trPr>
          <w:trHeight w:val="2054"/>
        </w:trPr>
        <w:tc>
          <w:tcPr>
            <w:tcW w:w="9571" w:type="dxa"/>
          </w:tcPr>
          <w:p w:rsidR="00433683" w:rsidRDefault="005D235A" w:rsidP="00F3546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5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17893" cy="3232847"/>
                  <wp:effectExtent l="19050" t="0" r="25707" b="5653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433683" w:rsidTr="008964B9">
        <w:tc>
          <w:tcPr>
            <w:tcW w:w="9571" w:type="dxa"/>
          </w:tcPr>
          <w:p w:rsidR="00433683" w:rsidRPr="00433683" w:rsidRDefault="00433683" w:rsidP="008964B9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Рис. 1 Объемы </w:t>
            </w:r>
            <w:r w:rsidR="0042111B">
              <w:rPr>
                <w:rFonts w:ascii="Times New Roman" w:hAnsi="Times New Roman"/>
                <w:b/>
                <w:sz w:val="18"/>
                <w:szCs w:val="18"/>
              </w:rPr>
              <w:t xml:space="preserve">основных сортов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картофеля</w:t>
            </w:r>
            <w:r w:rsidR="0042111B">
              <w:rPr>
                <w:rFonts w:ascii="Times New Roman" w:hAnsi="Times New Roman"/>
                <w:b/>
                <w:sz w:val="18"/>
                <w:szCs w:val="18"/>
              </w:rPr>
              <w:t>, высаженного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 2018 году в Красноярском крае и инфицированность их возбудителями заболеваний</w:t>
            </w:r>
          </w:p>
        </w:tc>
      </w:tr>
    </w:tbl>
    <w:p w:rsidR="00433683" w:rsidRDefault="00CD6A25" w:rsidP="00B7461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картофеля </w:t>
      </w:r>
      <w:r w:rsidR="00594C3C">
        <w:rPr>
          <w:rFonts w:ascii="Times New Roman" w:hAnsi="Times New Roman"/>
          <w:sz w:val="28"/>
          <w:szCs w:val="28"/>
        </w:rPr>
        <w:t xml:space="preserve">перед посадкой показали, что наиболее сильно </w:t>
      </w:r>
      <w:r>
        <w:rPr>
          <w:rFonts w:ascii="Times New Roman" w:hAnsi="Times New Roman"/>
          <w:sz w:val="28"/>
          <w:szCs w:val="28"/>
        </w:rPr>
        <w:t xml:space="preserve">комплексом заболеваний </w:t>
      </w:r>
      <w:r w:rsidR="00594C3C">
        <w:rPr>
          <w:rFonts w:ascii="Times New Roman" w:hAnsi="Times New Roman"/>
          <w:sz w:val="28"/>
          <w:szCs w:val="28"/>
        </w:rPr>
        <w:t>были поражены следующие сорта: Молли</w:t>
      </w:r>
      <w:r w:rsidR="00767826">
        <w:rPr>
          <w:rFonts w:ascii="Times New Roman" w:hAnsi="Times New Roman"/>
          <w:sz w:val="28"/>
          <w:szCs w:val="28"/>
        </w:rPr>
        <w:t xml:space="preserve"> (27,3%)</w:t>
      </w:r>
      <w:r w:rsidR="00594C3C">
        <w:rPr>
          <w:rFonts w:ascii="Times New Roman" w:hAnsi="Times New Roman"/>
          <w:sz w:val="28"/>
          <w:szCs w:val="28"/>
        </w:rPr>
        <w:t>, Вега</w:t>
      </w:r>
      <w:r w:rsidR="00767826">
        <w:rPr>
          <w:rFonts w:ascii="Times New Roman" w:hAnsi="Times New Roman"/>
          <w:sz w:val="28"/>
          <w:szCs w:val="28"/>
        </w:rPr>
        <w:t xml:space="preserve"> (19,7%)</w:t>
      </w:r>
      <w:r w:rsidR="00594C3C">
        <w:rPr>
          <w:rFonts w:ascii="Times New Roman" w:hAnsi="Times New Roman"/>
          <w:sz w:val="28"/>
          <w:szCs w:val="28"/>
        </w:rPr>
        <w:t xml:space="preserve">, </w:t>
      </w:r>
      <w:r w:rsidR="00767826">
        <w:rPr>
          <w:rFonts w:ascii="Times New Roman" w:hAnsi="Times New Roman"/>
          <w:sz w:val="28"/>
          <w:szCs w:val="28"/>
        </w:rPr>
        <w:t>Ароза и Ирбитский (19,2%). Пораженность же болезнями наиболее распространенного в крае сорта</w:t>
      </w:r>
      <w:proofErr w:type="gramStart"/>
      <w:r w:rsidR="00767826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="00767826">
        <w:rPr>
          <w:rFonts w:ascii="Times New Roman" w:hAnsi="Times New Roman"/>
          <w:sz w:val="28"/>
          <w:szCs w:val="28"/>
        </w:rPr>
        <w:t xml:space="preserve">ала составила 8% </w:t>
      </w:r>
      <w:r w:rsidR="00B74616">
        <w:rPr>
          <w:rFonts w:ascii="Times New Roman" w:hAnsi="Times New Roman"/>
          <w:sz w:val="28"/>
          <w:szCs w:val="28"/>
        </w:rPr>
        <w:t>(Рис.</w:t>
      </w:r>
      <w:r w:rsidR="00594C3C">
        <w:rPr>
          <w:rFonts w:ascii="Times New Roman" w:hAnsi="Times New Roman"/>
          <w:sz w:val="28"/>
          <w:szCs w:val="28"/>
        </w:rPr>
        <w:t>1).</w:t>
      </w:r>
    </w:p>
    <w:p w:rsidR="00D0407B" w:rsidRDefault="00A56E5F" w:rsidP="00D0407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5468">
        <w:rPr>
          <w:rFonts w:ascii="Times New Roman" w:hAnsi="Times New Roman"/>
          <w:sz w:val="28"/>
          <w:szCs w:val="28"/>
        </w:rPr>
        <w:t>Фитофтороз картофеля</w:t>
      </w:r>
      <w:r w:rsidR="003373C9">
        <w:rPr>
          <w:rFonts w:ascii="Times New Roman" w:hAnsi="Times New Roman"/>
          <w:sz w:val="28"/>
          <w:szCs w:val="28"/>
        </w:rPr>
        <w:t xml:space="preserve"> </w:t>
      </w:r>
      <w:r w:rsidR="00F35468">
        <w:rPr>
          <w:rFonts w:ascii="Times New Roman" w:hAnsi="Times New Roman"/>
          <w:sz w:val="28"/>
          <w:szCs w:val="28"/>
        </w:rPr>
        <w:t xml:space="preserve">является наиболее опасным заболеванием на территории края. </w:t>
      </w:r>
      <w:r w:rsidR="00D0407B" w:rsidRPr="00D0407B">
        <w:rPr>
          <w:rFonts w:ascii="Times New Roman" w:hAnsi="Times New Roman"/>
          <w:sz w:val="28"/>
          <w:szCs w:val="28"/>
        </w:rPr>
        <w:t>Высадка зараженных фитофторозом клубней способствует развитию заболевания в поле</w:t>
      </w:r>
      <w:r w:rsidR="00C03291">
        <w:rPr>
          <w:rFonts w:ascii="Times New Roman" w:hAnsi="Times New Roman"/>
          <w:sz w:val="28"/>
          <w:szCs w:val="28"/>
        </w:rPr>
        <w:t xml:space="preserve"> и при благоприятных метеорологических условиях</w:t>
      </w:r>
      <w:r w:rsidR="00DE1DD2" w:rsidRPr="00DE1DD2">
        <w:rPr>
          <w:rFonts w:ascii="Times New Roman" w:hAnsi="Times New Roman"/>
          <w:sz w:val="28"/>
          <w:szCs w:val="28"/>
        </w:rPr>
        <w:t xml:space="preserve"> </w:t>
      </w:r>
      <w:r w:rsidR="00DE1DD2">
        <w:rPr>
          <w:rFonts w:ascii="Times New Roman" w:hAnsi="Times New Roman"/>
          <w:sz w:val="28"/>
          <w:szCs w:val="28"/>
        </w:rPr>
        <w:t>привод</w:t>
      </w:r>
      <w:r w:rsidR="00C03291">
        <w:rPr>
          <w:rFonts w:ascii="Times New Roman" w:hAnsi="Times New Roman"/>
          <w:sz w:val="28"/>
          <w:szCs w:val="28"/>
        </w:rPr>
        <w:t>ит</w:t>
      </w:r>
      <w:r w:rsidR="00DE1DD2">
        <w:rPr>
          <w:rFonts w:ascii="Times New Roman" w:hAnsi="Times New Roman"/>
          <w:sz w:val="28"/>
          <w:szCs w:val="28"/>
        </w:rPr>
        <w:t xml:space="preserve"> к преждевременному усыхан</w:t>
      </w:r>
      <w:r w:rsidR="00C03291">
        <w:rPr>
          <w:rFonts w:ascii="Times New Roman" w:hAnsi="Times New Roman"/>
          <w:sz w:val="28"/>
          <w:szCs w:val="28"/>
        </w:rPr>
        <w:t>ию ботвы и снижению урожайности</w:t>
      </w:r>
      <w:r w:rsidR="00D0407B" w:rsidRPr="00D0407B">
        <w:rPr>
          <w:rFonts w:ascii="Times New Roman" w:hAnsi="Times New Roman"/>
          <w:sz w:val="28"/>
          <w:szCs w:val="28"/>
        </w:rPr>
        <w:t>.</w:t>
      </w:r>
      <w:r w:rsidR="003373C9">
        <w:rPr>
          <w:rFonts w:ascii="Times New Roman" w:hAnsi="Times New Roman"/>
          <w:sz w:val="28"/>
          <w:szCs w:val="28"/>
        </w:rPr>
        <w:t xml:space="preserve"> </w:t>
      </w:r>
      <w:r w:rsidR="00230874">
        <w:rPr>
          <w:rFonts w:ascii="Times New Roman" w:hAnsi="Times New Roman"/>
          <w:sz w:val="28"/>
          <w:szCs w:val="28"/>
        </w:rPr>
        <w:t xml:space="preserve">При весеннем клубневом анализе </w:t>
      </w:r>
      <w:r w:rsidR="004141BC">
        <w:rPr>
          <w:rFonts w:ascii="Times New Roman" w:hAnsi="Times New Roman"/>
          <w:sz w:val="28"/>
          <w:szCs w:val="28"/>
        </w:rPr>
        <w:t xml:space="preserve">семенного картофеля </w:t>
      </w:r>
      <w:r w:rsidR="00230874">
        <w:rPr>
          <w:rFonts w:ascii="Times New Roman" w:hAnsi="Times New Roman"/>
          <w:sz w:val="28"/>
          <w:szCs w:val="28"/>
        </w:rPr>
        <w:t xml:space="preserve">заболевание было </w:t>
      </w:r>
      <w:r w:rsidR="002356F0">
        <w:rPr>
          <w:rFonts w:ascii="Times New Roman" w:hAnsi="Times New Roman"/>
          <w:sz w:val="28"/>
          <w:szCs w:val="28"/>
        </w:rPr>
        <w:t>отмечено на</w:t>
      </w:r>
      <w:r w:rsidR="00230874">
        <w:rPr>
          <w:rFonts w:ascii="Times New Roman" w:hAnsi="Times New Roman"/>
          <w:sz w:val="28"/>
          <w:szCs w:val="28"/>
        </w:rPr>
        <w:t xml:space="preserve"> 6 сорт</w:t>
      </w:r>
      <w:r w:rsidR="002356F0">
        <w:rPr>
          <w:rFonts w:ascii="Times New Roman" w:hAnsi="Times New Roman"/>
          <w:sz w:val="28"/>
          <w:szCs w:val="28"/>
        </w:rPr>
        <w:t>ах</w:t>
      </w:r>
      <w:r w:rsidR="00230874">
        <w:rPr>
          <w:rFonts w:ascii="Times New Roman" w:hAnsi="Times New Roman"/>
          <w:sz w:val="28"/>
          <w:szCs w:val="28"/>
        </w:rPr>
        <w:t xml:space="preserve">, наиболее сильно </w:t>
      </w:r>
      <w:r w:rsidR="002356F0">
        <w:rPr>
          <w:rFonts w:ascii="Times New Roman" w:hAnsi="Times New Roman"/>
          <w:sz w:val="28"/>
          <w:szCs w:val="28"/>
        </w:rPr>
        <w:t>были поражены сорта</w:t>
      </w:r>
      <w:r w:rsidR="00230874">
        <w:rPr>
          <w:rFonts w:ascii="Times New Roman" w:hAnsi="Times New Roman"/>
          <w:sz w:val="28"/>
          <w:szCs w:val="28"/>
        </w:rPr>
        <w:t xml:space="preserve"> Кемеровчанин (1,5%), Инара (1,0%) и Молли (0,7%) </w:t>
      </w:r>
      <w:r w:rsidR="00171DDA">
        <w:rPr>
          <w:rFonts w:ascii="Times New Roman" w:hAnsi="Times New Roman"/>
          <w:sz w:val="28"/>
          <w:szCs w:val="28"/>
        </w:rPr>
        <w:t>(</w:t>
      </w:r>
      <w:r w:rsidR="00230874">
        <w:rPr>
          <w:rFonts w:ascii="Times New Roman" w:hAnsi="Times New Roman"/>
          <w:sz w:val="28"/>
          <w:szCs w:val="28"/>
        </w:rPr>
        <w:t>Рис. 2</w:t>
      </w:r>
      <w:r w:rsidR="00171DDA">
        <w:rPr>
          <w:rFonts w:ascii="Times New Roman" w:hAnsi="Times New Roman"/>
          <w:sz w:val="28"/>
          <w:szCs w:val="28"/>
        </w:rPr>
        <w:t>)</w:t>
      </w:r>
      <w:r w:rsidR="00230874">
        <w:rPr>
          <w:rFonts w:ascii="Times New Roman" w:hAnsi="Times New Roman"/>
          <w:sz w:val="28"/>
          <w:szCs w:val="28"/>
        </w:rPr>
        <w:t>.</w:t>
      </w:r>
    </w:p>
    <w:p w:rsidR="007D57FD" w:rsidRDefault="007D57FD" w:rsidP="00D0407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5"/>
        <w:gridCol w:w="5376"/>
      </w:tblGrid>
      <w:tr w:rsidR="007D57FD" w:rsidTr="007D57FD">
        <w:tc>
          <w:tcPr>
            <w:tcW w:w="4195" w:type="dxa"/>
          </w:tcPr>
          <w:p w:rsidR="007D57FD" w:rsidRDefault="007D57FD" w:rsidP="00D0407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7F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0673" cy="2364761"/>
                  <wp:effectExtent l="19050" t="0" r="5777" b="0"/>
                  <wp:docPr id="51" name="Рисунок 13" descr="C:\Users\Zina_\AppData\Local\Microsoft\Windows\Temporary Internet Files\Content.Word\IMG_20171013_155529_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Zina_\AppData\Local\Microsoft\Windows\Temporary Internet Files\Content.Word\IMG_20171013_155529_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484" b="23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673" cy="2364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7D57FD" w:rsidRDefault="007D57FD" w:rsidP="00D0407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7F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8500" cy="2686050"/>
                  <wp:effectExtent l="19050" t="0" r="19050" b="0"/>
                  <wp:docPr id="52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7D57FD" w:rsidTr="007D57FD">
        <w:tc>
          <w:tcPr>
            <w:tcW w:w="4195" w:type="dxa"/>
          </w:tcPr>
          <w:p w:rsidR="007D57FD" w:rsidRPr="00784935" w:rsidRDefault="007D57FD" w:rsidP="00623E15">
            <w:pPr>
              <w:jc w:val="both"/>
              <w:rPr>
                <w:b/>
                <w:sz w:val="18"/>
                <w:szCs w:val="18"/>
              </w:rPr>
            </w:pPr>
            <w:r w:rsidRPr="00784935">
              <w:rPr>
                <w:b/>
                <w:sz w:val="18"/>
                <w:szCs w:val="18"/>
              </w:rPr>
              <w:t xml:space="preserve">Фото 2 </w:t>
            </w:r>
            <w:r>
              <w:rPr>
                <w:b/>
                <w:sz w:val="18"/>
                <w:szCs w:val="18"/>
              </w:rPr>
              <w:t>К</w:t>
            </w:r>
            <w:r w:rsidRPr="00784935">
              <w:rPr>
                <w:b/>
                <w:sz w:val="18"/>
                <w:szCs w:val="18"/>
              </w:rPr>
              <w:t>лубн</w:t>
            </w:r>
            <w:r>
              <w:rPr>
                <w:b/>
                <w:sz w:val="18"/>
                <w:szCs w:val="18"/>
              </w:rPr>
              <w:t>и картофеля, пораженные</w:t>
            </w:r>
            <w:r w:rsidRPr="00784935">
              <w:rPr>
                <w:b/>
                <w:sz w:val="18"/>
                <w:szCs w:val="18"/>
              </w:rPr>
              <w:t xml:space="preserve"> фитофторозом</w:t>
            </w:r>
          </w:p>
        </w:tc>
        <w:tc>
          <w:tcPr>
            <w:tcW w:w="5376" w:type="dxa"/>
          </w:tcPr>
          <w:p w:rsidR="007D57FD" w:rsidRPr="00784935" w:rsidRDefault="007D57FD" w:rsidP="00623E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Рис. 2</w:t>
            </w:r>
            <w:r w:rsidRPr="0078493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Пораженность семян картофеля фитофтороз при клубневом анализе весной 2018 г. по сорта</w:t>
            </w:r>
          </w:p>
        </w:tc>
      </w:tr>
    </w:tbl>
    <w:p w:rsidR="001C2A22" w:rsidRDefault="001C2A22" w:rsidP="007D57FD">
      <w:pPr>
        <w:rPr>
          <w:sz w:val="28"/>
          <w:szCs w:val="28"/>
        </w:rPr>
      </w:pPr>
    </w:p>
    <w:p w:rsidR="008027D9" w:rsidRDefault="001C2A22" w:rsidP="001C2A2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Ризоктониоз (черная парша) широко распространенное заболевание картофеля в крае. На клубнях </w:t>
      </w:r>
      <w:r w:rsidR="00B334DA">
        <w:rPr>
          <w:sz w:val="28"/>
          <w:szCs w:val="28"/>
        </w:rPr>
        <w:t>заболевание</w:t>
      </w:r>
      <w:r>
        <w:rPr>
          <w:sz w:val="28"/>
          <w:szCs w:val="28"/>
        </w:rPr>
        <w:t xml:space="preserve"> проявляется виде черной парши, а в последние годы – в виде углубленной (ямчатой) пятнистости (Фото 4). </w:t>
      </w:r>
      <w:r w:rsidR="00E84F04">
        <w:rPr>
          <w:sz w:val="28"/>
          <w:szCs w:val="28"/>
        </w:rPr>
        <w:t>При высадке зараженных клубней происходит поражение ростков, при сильном поражении – их гибель и изреживание посадок</w:t>
      </w:r>
      <w:r w:rsidR="00A44209">
        <w:rPr>
          <w:sz w:val="28"/>
          <w:szCs w:val="28"/>
        </w:rPr>
        <w:t xml:space="preserve">, что </w:t>
      </w:r>
      <w:r w:rsidR="00306867">
        <w:rPr>
          <w:sz w:val="28"/>
          <w:szCs w:val="28"/>
        </w:rPr>
        <w:t xml:space="preserve">может </w:t>
      </w:r>
      <w:r w:rsidR="00A44209">
        <w:rPr>
          <w:sz w:val="28"/>
          <w:szCs w:val="28"/>
        </w:rPr>
        <w:t>прив</w:t>
      </w:r>
      <w:r w:rsidR="00306867">
        <w:rPr>
          <w:sz w:val="28"/>
          <w:szCs w:val="28"/>
        </w:rPr>
        <w:t>ести</w:t>
      </w:r>
      <w:r w:rsidR="00A44209">
        <w:rPr>
          <w:sz w:val="28"/>
          <w:szCs w:val="28"/>
        </w:rPr>
        <w:t xml:space="preserve"> к существенному недобору урожая</w:t>
      </w:r>
      <w:r w:rsidR="00E84F04">
        <w:rPr>
          <w:sz w:val="28"/>
          <w:szCs w:val="28"/>
        </w:rPr>
        <w:t xml:space="preserve">. </w:t>
      </w:r>
      <w:r w:rsidR="00306867">
        <w:rPr>
          <w:sz w:val="28"/>
          <w:szCs w:val="28"/>
        </w:rPr>
        <w:t>При исследовании семян картофеля перед посадкой все сорта</w:t>
      </w:r>
      <w:r w:rsidR="00435D65">
        <w:rPr>
          <w:sz w:val="28"/>
          <w:szCs w:val="28"/>
        </w:rPr>
        <w:t xml:space="preserve"> (за исключением сорта Ароза)</w:t>
      </w:r>
      <w:r w:rsidR="00306867">
        <w:rPr>
          <w:sz w:val="28"/>
          <w:szCs w:val="28"/>
        </w:rPr>
        <w:t xml:space="preserve"> были поражены ризоктониозом, </w:t>
      </w:r>
      <w:r w:rsidR="00435D65">
        <w:rPr>
          <w:sz w:val="28"/>
          <w:szCs w:val="28"/>
        </w:rPr>
        <w:t xml:space="preserve">при этом </w:t>
      </w:r>
      <w:r w:rsidR="00B334DA">
        <w:rPr>
          <w:sz w:val="28"/>
          <w:szCs w:val="28"/>
        </w:rPr>
        <w:t xml:space="preserve">более </w:t>
      </w:r>
      <w:r w:rsidR="00306867">
        <w:rPr>
          <w:sz w:val="28"/>
          <w:szCs w:val="28"/>
        </w:rPr>
        <w:t>сильно</w:t>
      </w:r>
      <w:r w:rsidR="00435D65">
        <w:rPr>
          <w:sz w:val="28"/>
          <w:szCs w:val="28"/>
        </w:rPr>
        <w:t>е поражение - 12,8%,</w:t>
      </w:r>
      <w:r w:rsidR="008027D9" w:rsidRPr="008027D9">
        <w:rPr>
          <w:sz w:val="28"/>
          <w:szCs w:val="28"/>
        </w:rPr>
        <w:t xml:space="preserve"> </w:t>
      </w:r>
      <w:r w:rsidR="00435D65">
        <w:rPr>
          <w:sz w:val="28"/>
          <w:szCs w:val="28"/>
        </w:rPr>
        <w:t xml:space="preserve">было отмечено на сорте </w:t>
      </w:r>
      <w:r w:rsidR="00254C0E">
        <w:rPr>
          <w:sz w:val="28"/>
          <w:szCs w:val="28"/>
        </w:rPr>
        <w:t>Ирбитский.</w:t>
      </w:r>
    </w:p>
    <w:p w:rsidR="00B334DA" w:rsidRDefault="0085681A" w:rsidP="001C2A2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Вредоносность парши обыкновенной заключается, в основном, в снижении потребительской ценности продовольственного картофеля, </w:t>
      </w:r>
      <w:r w:rsidR="007E2C5F">
        <w:rPr>
          <w:sz w:val="28"/>
          <w:szCs w:val="28"/>
        </w:rPr>
        <w:t>но</w:t>
      </w:r>
      <w:r>
        <w:rPr>
          <w:sz w:val="28"/>
          <w:szCs w:val="28"/>
        </w:rPr>
        <w:t xml:space="preserve"> использование больных клубней на семенные цели приводит </w:t>
      </w:r>
      <w:r w:rsidR="00C07031">
        <w:rPr>
          <w:sz w:val="28"/>
          <w:szCs w:val="28"/>
        </w:rPr>
        <w:t>к</w:t>
      </w:r>
      <w:r>
        <w:rPr>
          <w:sz w:val="28"/>
          <w:szCs w:val="28"/>
        </w:rPr>
        <w:t xml:space="preserve"> недобору урожая. </w:t>
      </w:r>
      <w:r w:rsidR="00DA624D">
        <w:rPr>
          <w:sz w:val="28"/>
          <w:szCs w:val="28"/>
        </w:rPr>
        <w:t xml:space="preserve">По результатам весеннего клубневого анализа более сильно </w:t>
      </w:r>
      <w:r w:rsidR="00DA624D">
        <w:rPr>
          <w:sz w:val="28"/>
          <w:szCs w:val="28"/>
        </w:rPr>
        <w:lastRenderedPageBreak/>
        <w:t>возбудител</w:t>
      </w:r>
      <w:r w:rsidR="00CC0391">
        <w:rPr>
          <w:sz w:val="28"/>
          <w:szCs w:val="28"/>
        </w:rPr>
        <w:t>ем</w:t>
      </w:r>
      <w:r w:rsidR="00DA624D">
        <w:rPr>
          <w:sz w:val="28"/>
          <w:szCs w:val="28"/>
        </w:rPr>
        <w:t xml:space="preserve"> заболевания были поражены сорта </w:t>
      </w:r>
      <w:r w:rsidR="00DA624D" w:rsidRPr="00DA624D">
        <w:rPr>
          <w:sz w:val="28"/>
          <w:szCs w:val="28"/>
        </w:rPr>
        <w:t xml:space="preserve">Тулевский (3,0%) </w:t>
      </w:r>
      <w:r w:rsidR="00DA624D">
        <w:rPr>
          <w:sz w:val="28"/>
          <w:szCs w:val="28"/>
        </w:rPr>
        <w:t xml:space="preserve">и </w:t>
      </w:r>
      <w:r w:rsidR="00DA624D" w:rsidRPr="00DA624D">
        <w:rPr>
          <w:sz w:val="28"/>
          <w:szCs w:val="28"/>
        </w:rPr>
        <w:t>Ред Леди (2,9%)</w:t>
      </w:r>
      <w:r w:rsidR="00DA624D">
        <w:rPr>
          <w:sz w:val="28"/>
          <w:szCs w:val="28"/>
        </w:rPr>
        <w:t>. Н</w:t>
      </w:r>
      <w:r w:rsidR="00DA624D" w:rsidRPr="00DA624D">
        <w:rPr>
          <w:sz w:val="28"/>
          <w:szCs w:val="28"/>
        </w:rPr>
        <w:t>а сортах Арамис, Вега,</w:t>
      </w:r>
      <w:r w:rsidR="00DA624D">
        <w:rPr>
          <w:sz w:val="28"/>
          <w:szCs w:val="28"/>
        </w:rPr>
        <w:t xml:space="preserve"> Кемеровчанин, Танай и Фиделия </w:t>
      </w:r>
      <w:r w:rsidR="00DA624D" w:rsidRPr="00DA624D">
        <w:rPr>
          <w:sz w:val="28"/>
          <w:szCs w:val="28"/>
        </w:rPr>
        <w:t>заболевани</w:t>
      </w:r>
      <w:r w:rsidR="003F35D1">
        <w:rPr>
          <w:sz w:val="28"/>
          <w:szCs w:val="28"/>
        </w:rPr>
        <w:t>я</w:t>
      </w:r>
      <w:r w:rsidR="00DA624D" w:rsidRPr="00DA624D">
        <w:rPr>
          <w:sz w:val="28"/>
          <w:szCs w:val="28"/>
        </w:rPr>
        <w:t xml:space="preserve"> не обнаружено.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8"/>
        <w:gridCol w:w="6833"/>
      </w:tblGrid>
      <w:tr w:rsidR="007D57FD" w:rsidTr="0053205A">
        <w:tc>
          <w:tcPr>
            <w:tcW w:w="2802" w:type="dxa"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D57FD">
              <w:rPr>
                <w:noProof/>
                <w:sz w:val="28"/>
                <w:szCs w:val="28"/>
              </w:rPr>
              <w:drawing>
                <wp:inline distT="0" distB="0" distL="0" distR="0">
                  <wp:extent cx="1590675" cy="1152641"/>
                  <wp:effectExtent l="19050" t="0" r="9525" b="0"/>
                  <wp:docPr id="56" name="Рисунок 10" descr="C:\Users\Zina_\AppData\Local\Microsoft\Windows\Temporary Internet Files\Content.Word\20171013_113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ina_\AppData\Local\Microsoft\Windows\Temporary Internet Files\Content.Word\20171013_113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603" cy="1164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vMerge w:val="restart"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D57FD">
              <w:rPr>
                <w:noProof/>
                <w:sz w:val="28"/>
                <w:szCs w:val="28"/>
              </w:rPr>
              <w:drawing>
                <wp:inline distT="0" distB="0" distL="0" distR="0">
                  <wp:extent cx="4215130" cy="4057650"/>
                  <wp:effectExtent l="19050" t="0" r="13970" b="0"/>
                  <wp:docPr id="59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7D57FD" w:rsidTr="0053205A">
        <w:tc>
          <w:tcPr>
            <w:tcW w:w="2802" w:type="dxa"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18"/>
                <w:szCs w:val="18"/>
              </w:rPr>
              <w:t>Фото 3 Клубень картофеля, пораженный паршой обыкновенной</w:t>
            </w:r>
          </w:p>
        </w:tc>
        <w:tc>
          <w:tcPr>
            <w:tcW w:w="6769" w:type="dxa"/>
            <w:vMerge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D57FD" w:rsidTr="0053205A">
        <w:tc>
          <w:tcPr>
            <w:tcW w:w="2802" w:type="dxa"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D57FD">
              <w:rPr>
                <w:noProof/>
                <w:sz w:val="28"/>
                <w:szCs w:val="28"/>
              </w:rPr>
              <w:drawing>
                <wp:inline distT="0" distB="0" distL="0" distR="0">
                  <wp:extent cx="1590675" cy="1138776"/>
                  <wp:effectExtent l="19050" t="0" r="9525" b="0"/>
                  <wp:docPr id="57" name="Рисунок 1" descr="C:\Users\Zina_\AppData\Local\Microsoft\Windows\Temporary Internet Files\Content.Word\20171013_101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ina_\AppData\Local\Microsoft\Windows\Temporary Internet Files\Content.Word\20171013_101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433" cy="1145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vMerge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D57FD" w:rsidTr="0053205A">
        <w:tc>
          <w:tcPr>
            <w:tcW w:w="2802" w:type="dxa"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D57FD">
              <w:rPr>
                <w:noProof/>
                <w:sz w:val="28"/>
                <w:szCs w:val="28"/>
              </w:rPr>
              <w:drawing>
                <wp:inline distT="0" distB="0" distL="0" distR="0">
                  <wp:extent cx="1590675" cy="1330921"/>
                  <wp:effectExtent l="19050" t="0" r="9525" b="0"/>
                  <wp:docPr id="58" name="Рисунок 4" descr="\\alex\d\фото\2017\Емельяновский\Клубневой\болезни картофеля\20171013_115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alex\d\фото\2017\Емельяновский\Клубневой\болезни картофеля\20171013_115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32" cy="1334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vMerge/>
          </w:tcPr>
          <w:p w:rsidR="007D57FD" w:rsidRDefault="007D57FD" w:rsidP="007D57F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D57FD" w:rsidTr="0053205A">
        <w:tc>
          <w:tcPr>
            <w:tcW w:w="2802" w:type="dxa"/>
          </w:tcPr>
          <w:p w:rsidR="007D57FD" w:rsidRDefault="007D57FD" w:rsidP="00623E15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Фото 4</w:t>
            </w:r>
            <w:r w:rsidRPr="00784935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Клубни картофеля, пораженный ризоктониозом (черной паршой)</w:t>
            </w:r>
          </w:p>
        </w:tc>
        <w:tc>
          <w:tcPr>
            <w:tcW w:w="6769" w:type="dxa"/>
          </w:tcPr>
          <w:p w:rsidR="007D57FD" w:rsidRPr="00784935" w:rsidRDefault="007D57FD" w:rsidP="00623E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Рис. 3 Пораженность семян картофеля различными видами парши при клубневом анализе весной 2018 г. по сортам</w:t>
            </w:r>
          </w:p>
        </w:tc>
      </w:tr>
    </w:tbl>
    <w:p w:rsidR="00207157" w:rsidRDefault="00207157" w:rsidP="0053205A">
      <w:pPr>
        <w:spacing w:line="276" w:lineRule="auto"/>
        <w:jc w:val="both"/>
        <w:rPr>
          <w:sz w:val="28"/>
          <w:szCs w:val="28"/>
        </w:rPr>
      </w:pPr>
    </w:p>
    <w:p w:rsidR="007F1E56" w:rsidRDefault="007F1E56" w:rsidP="004141B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3 года в пригороде Красноярска отмечается поражение семенного картофеля парш</w:t>
      </w:r>
      <w:r w:rsidR="00254C0E">
        <w:rPr>
          <w:sz w:val="28"/>
          <w:szCs w:val="28"/>
        </w:rPr>
        <w:t>ой</w:t>
      </w:r>
      <w:r>
        <w:rPr>
          <w:sz w:val="28"/>
          <w:szCs w:val="28"/>
        </w:rPr>
        <w:t xml:space="preserve"> серебристой</w:t>
      </w:r>
      <w:r w:rsidR="0036409F">
        <w:rPr>
          <w:sz w:val="28"/>
          <w:szCs w:val="28"/>
        </w:rPr>
        <w:t>. Весной 2016 года специалистами филиала заболевание было выявлено в 4 закупленных в Нидерландах партиях</w:t>
      </w:r>
      <w:r w:rsidR="00C07031">
        <w:rPr>
          <w:sz w:val="28"/>
          <w:szCs w:val="28"/>
        </w:rPr>
        <w:t xml:space="preserve"> </w:t>
      </w:r>
      <w:r w:rsidR="0036409F">
        <w:rPr>
          <w:sz w:val="28"/>
          <w:szCs w:val="28"/>
        </w:rPr>
        <w:t>картофеля</w:t>
      </w:r>
      <w:proofErr w:type="gramStart"/>
      <w:r w:rsidR="0036409F">
        <w:rPr>
          <w:sz w:val="28"/>
          <w:szCs w:val="28"/>
        </w:rPr>
        <w:t>.</w:t>
      </w:r>
      <w:proofErr w:type="gramEnd"/>
      <w:r w:rsidR="0036409F">
        <w:rPr>
          <w:sz w:val="28"/>
          <w:szCs w:val="28"/>
        </w:rPr>
        <w:t xml:space="preserve"> </w:t>
      </w:r>
      <w:r w:rsidR="00254C0E">
        <w:rPr>
          <w:sz w:val="28"/>
          <w:szCs w:val="28"/>
        </w:rPr>
        <w:t xml:space="preserve">Весной этого года </w:t>
      </w:r>
      <w:r w:rsidR="0036409F">
        <w:rPr>
          <w:sz w:val="28"/>
          <w:szCs w:val="28"/>
        </w:rPr>
        <w:t xml:space="preserve">серебристая парша отмечалась </w:t>
      </w:r>
      <w:r w:rsidR="008B5081">
        <w:rPr>
          <w:sz w:val="28"/>
          <w:szCs w:val="28"/>
        </w:rPr>
        <w:t>в</w:t>
      </w:r>
      <w:r w:rsidR="00254C0E">
        <w:rPr>
          <w:sz w:val="28"/>
          <w:szCs w:val="28"/>
        </w:rPr>
        <w:t xml:space="preserve"> </w:t>
      </w:r>
      <w:r w:rsidR="00B74616">
        <w:rPr>
          <w:sz w:val="28"/>
          <w:szCs w:val="28"/>
        </w:rPr>
        <w:t>1/5 проанализированного картофеля на 5 сортах</w:t>
      </w:r>
      <w:r w:rsidR="001C0DD0">
        <w:rPr>
          <w:sz w:val="28"/>
          <w:szCs w:val="28"/>
        </w:rPr>
        <w:t>, наиболее сильно</w:t>
      </w:r>
      <w:r w:rsidR="0036409F">
        <w:rPr>
          <w:sz w:val="28"/>
          <w:szCs w:val="28"/>
        </w:rPr>
        <w:t xml:space="preserve"> был</w:t>
      </w:r>
      <w:r w:rsidR="001C0DD0">
        <w:rPr>
          <w:sz w:val="28"/>
          <w:szCs w:val="28"/>
        </w:rPr>
        <w:t xml:space="preserve"> пораж</w:t>
      </w:r>
      <w:r w:rsidR="00B74616">
        <w:rPr>
          <w:sz w:val="28"/>
          <w:szCs w:val="28"/>
        </w:rPr>
        <w:t>ен</w:t>
      </w:r>
      <w:r w:rsidR="001C0DD0">
        <w:rPr>
          <w:sz w:val="28"/>
          <w:szCs w:val="28"/>
        </w:rPr>
        <w:t xml:space="preserve">  сорт</w:t>
      </w:r>
      <w:r w:rsidR="00B74616">
        <w:rPr>
          <w:sz w:val="28"/>
          <w:szCs w:val="28"/>
        </w:rPr>
        <w:t xml:space="preserve"> </w:t>
      </w:r>
      <w:r w:rsidR="001C0DD0">
        <w:rPr>
          <w:sz w:val="28"/>
          <w:szCs w:val="28"/>
        </w:rPr>
        <w:t>Молли</w:t>
      </w:r>
      <w:r w:rsidR="00B74616">
        <w:rPr>
          <w:sz w:val="28"/>
          <w:szCs w:val="28"/>
        </w:rPr>
        <w:t xml:space="preserve"> - 16,1% </w:t>
      </w:r>
      <w:r w:rsidR="001C0DD0">
        <w:rPr>
          <w:sz w:val="28"/>
          <w:szCs w:val="28"/>
        </w:rPr>
        <w:t xml:space="preserve"> (Рис. 3).</w:t>
      </w:r>
      <w:r>
        <w:rPr>
          <w:sz w:val="28"/>
          <w:szCs w:val="28"/>
        </w:rPr>
        <w:t xml:space="preserve"> </w:t>
      </w:r>
    </w:p>
    <w:p w:rsidR="008964B9" w:rsidRDefault="00D53B29" w:rsidP="004141B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инфицированности клубней</w:t>
      </w:r>
      <w:r w:rsidR="007D57FD">
        <w:rPr>
          <w:sz w:val="28"/>
          <w:szCs w:val="28"/>
        </w:rPr>
        <w:t xml:space="preserve"> и предотвращения попадания возбудителей инфекции в почву, где она может сохраняться в течение</w:t>
      </w:r>
      <w:r>
        <w:rPr>
          <w:sz w:val="28"/>
          <w:szCs w:val="28"/>
        </w:rPr>
        <w:t xml:space="preserve"> </w:t>
      </w:r>
      <w:r w:rsidR="007D57FD">
        <w:rPr>
          <w:sz w:val="28"/>
          <w:szCs w:val="28"/>
        </w:rPr>
        <w:t xml:space="preserve">нескольких лет, </w:t>
      </w:r>
      <w:r w:rsidR="00CC0391">
        <w:rPr>
          <w:sz w:val="28"/>
          <w:szCs w:val="28"/>
        </w:rPr>
        <w:t xml:space="preserve">перед посадкой в крае </w:t>
      </w:r>
      <w:r w:rsidR="007D57FD">
        <w:rPr>
          <w:sz w:val="28"/>
          <w:szCs w:val="28"/>
        </w:rPr>
        <w:t>было</w:t>
      </w:r>
      <w:r>
        <w:rPr>
          <w:sz w:val="28"/>
          <w:szCs w:val="28"/>
        </w:rPr>
        <w:t xml:space="preserve"> протравлено 4,6 тыс. т </w:t>
      </w:r>
      <w:r w:rsidR="007D57FD">
        <w:rPr>
          <w:sz w:val="28"/>
          <w:szCs w:val="28"/>
        </w:rPr>
        <w:t xml:space="preserve">(30%) </w:t>
      </w:r>
      <w:r>
        <w:rPr>
          <w:sz w:val="28"/>
          <w:szCs w:val="28"/>
        </w:rPr>
        <w:t>семенного материала</w:t>
      </w:r>
      <w:r w:rsidR="00E3348F">
        <w:rPr>
          <w:sz w:val="28"/>
          <w:szCs w:val="28"/>
        </w:rPr>
        <w:t xml:space="preserve"> фугницидными протравителями</w:t>
      </w:r>
      <w:r w:rsidR="007D57FD">
        <w:rPr>
          <w:sz w:val="28"/>
          <w:szCs w:val="28"/>
        </w:rPr>
        <w:t>.</w:t>
      </w:r>
    </w:p>
    <w:p w:rsidR="008B5081" w:rsidRPr="00C03291" w:rsidRDefault="008B5081" w:rsidP="004141BC">
      <w:pPr>
        <w:spacing w:line="276" w:lineRule="auto"/>
        <w:ind w:firstLine="708"/>
        <w:jc w:val="both"/>
        <w:rPr>
          <w:sz w:val="28"/>
          <w:szCs w:val="28"/>
        </w:rPr>
      </w:pPr>
    </w:p>
    <w:p w:rsidR="000B3824" w:rsidRPr="00D157E3" w:rsidRDefault="000B3824">
      <w:pPr>
        <w:rPr>
          <w:sz w:val="20"/>
          <w:szCs w:val="20"/>
        </w:rPr>
      </w:pPr>
    </w:p>
    <w:sectPr w:rsidR="000B3824" w:rsidRPr="00D157E3" w:rsidSect="0088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3DD"/>
    <w:rsid w:val="000012BD"/>
    <w:rsid w:val="000043D8"/>
    <w:rsid w:val="00014D06"/>
    <w:rsid w:val="0001549B"/>
    <w:rsid w:val="0002147D"/>
    <w:rsid w:val="00030CC6"/>
    <w:rsid w:val="000323E5"/>
    <w:rsid w:val="0004385F"/>
    <w:rsid w:val="000469EB"/>
    <w:rsid w:val="00050239"/>
    <w:rsid w:val="0005073C"/>
    <w:rsid w:val="00051453"/>
    <w:rsid w:val="00051F34"/>
    <w:rsid w:val="0005294C"/>
    <w:rsid w:val="00063ED5"/>
    <w:rsid w:val="00070023"/>
    <w:rsid w:val="00071C60"/>
    <w:rsid w:val="00072279"/>
    <w:rsid w:val="000739DE"/>
    <w:rsid w:val="00087071"/>
    <w:rsid w:val="000908EF"/>
    <w:rsid w:val="000B0D07"/>
    <w:rsid w:val="000B3824"/>
    <w:rsid w:val="000B3B58"/>
    <w:rsid w:val="000C46A8"/>
    <w:rsid w:val="000C546C"/>
    <w:rsid w:val="000C57AF"/>
    <w:rsid w:val="000D064E"/>
    <w:rsid w:val="000D2991"/>
    <w:rsid w:val="000D3CB6"/>
    <w:rsid w:val="000D3CFC"/>
    <w:rsid w:val="000D6248"/>
    <w:rsid w:val="000E3023"/>
    <w:rsid w:val="000E3090"/>
    <w:rsid w:val="000F643A"/>
    <w:rsid w:val="000F7782"/>
    <w:rsid w:val="00110E1A"/>
    <w:rsid w:val="00117F7F"/>
    <w:rsid w:val="00121983"/>
    <w:rsid w:val="00123A2D"/>
    <w:rsid w:val="00136D03"/>
    <w:rsid w:val="00144CA3"/>
    <w:rsid w:val="001470AC"/>
    <w:rsid w:val="001523B3"/>
    <w:rsid w:val="001571E5"/>
    <w:rsid w:val="00162FE5"/>
    <w:rsid w:val="00171607"/>
    <w:rsid w:val="00171DDA"/>
    <w:rsid w:val="00175E05"/>
    <w:rsid w:val="001764DC"/>
    <w:rsid w:val="001973C2"/>
    <w:rsid w:val="001B30A1"/>
    <w:rsid w:val="001B3A53"/>
    <w:rsid w:val="001C0DD0"/>
    <w:rsid w:val="001C2083"/>
    <w:rsid w:val="001C2A22"/>
    <w:rsid w:val="001C4C6D"/>
    <w:rsid w:val="001D4897"/>
    <w:rsid w:val="001D51F0"/>
    <w:rsid w:val="001E201C"/>
    <w:rsid w:val="001F64B4"/>
    <w:rsid w:val="0020232F"/>
    <w:rsid w:val="00207157"/>
    <w:rsid w:val="002141C3"/>
    <w:rsid w:val="00217A1B"/>
    <w:rsid w:val="002230C5"/>
    <w:rsid w:val="00230874"/>
    <w:rsid w:val="002356F0"/>
    <w:rsid w:val="00236697"/>
    <w:rsid w:val="00242D72"/>
    <w:rsid w:val="00254C0E"/>
    <w:rsid w:val="00255DE5"/>
    <w:rsid w:val="00266675"/>
    <w:rsid w:val="002671B4"/>
    <w:rsid w:val="0027393B"/>
    <w:rsid w:val="00275FE3"/>
    <w:rsid w:val="002856C2"/>
    <w:rsid w:val="00290E5E"/>
    <w:rsid w:val="00292DB9"/>
    <w:rsid w:val="00294A03"/>
    <w:rsid w:val="002A2B4D"/>
    <w:rsid w:val="002F2B63"/>
    <w:rsid w:val="002F6333"/>
    <w:rsid w:val="00306867"/>
    <w:rsid w:val="00317B85"/>
    <w:rsid w:val="003203C4"/>
    <w:rsid w:val="003373C9"/>
    <w:rsid w:val="003475D9"/>
    <w:rsid w:val="00353946"/>
    <w:rsid w:val="0035504C"/>
    <w:rsid w:val="00361182"/>
    <w:rsid w:val="0036409F"/>
    <w:rsid w:val="00370BD3"/>
    <w:rsid w:val="00372ABD"/>
    <w:rsid w:val="00375FB9"/>
    <w:rsid w:val="00380AB2"/>
    <w:rsid w:val="003829C3"/>
    <w:rsid w:val="00393084"/>
    <w:rsid w:val="0039356B"/>
    <w:rsid w:val="00393F55"/>
    <w:rsid w:val="003A59E0"/>
    <w:rsid w:val="003A651C"/>
    <w:rsid w:val="003C0946"/>
    <w:rsid w:val="003C34CA"/>
    <w:rsid w:val="003C46FE"/>
    <w:rsid w:val="003D48C9"/>
    <w:rsid w:val="003D6623"/>
    <w:rsid w:val="003E020D"/>
    <w:rsid w:val="003E3A87"/>
    <w:rsid w:val="003F14A4"/>
    <w:rsid w:val="003F35D1"/>
    <w:rsid w:val="003F75B9"/>
    <w:rsid w:val="00412F77"/>
    <w:rsid w:val="004141BC"/>
    <w:rsid w:val="00415CA1"/>
    <w:rsid w:val="0042111B"/>
    <w:rsid w:val="00433683"/>
    <w:rsid w:val="00435D65"/>
    <w:rsid w:val="00436DD8"/>
    <w:rsid w:val="00447AB0"/>
    <w:rsid w:val="0046174E"/>
    <w:rsid w:val="004704D9"/>
    <w:rsid w:val="00471A32"/>
    <w:rsid w:val="00483C84"/>
    <w:rsid w:val="00484F87"/>
    <w:rsid w:val="0049306D"/>
    <w:rsid w:val="00494880"/>
    <w:rsid w:val="00496F62"/>
    <w:rsid w:val="004A2D96"/>
    <w:rsid w:val="004C2838"/>
    <w:rsid w:val="004C68CF"/>
    <w:rsid w:val="004C708D"/>
    <w:rsid w:val="004E6DAC"/>
    <w:rsid w:val="004E722B"/>
    <w:rsid w:val="004F6885"/>
    <w:rsid w:val="00502F2B"/>
    <w:rsid w:val="005178E2"/>
    <w:rsid w:val="005233F4"/>
    <w:rsid w:val="005272CD"/>
    <w:rsid w:val="00531EBC"/>
    <w:rsid w:val="0053205A"/>
    <w:rsid w:val="005322F1"/>
    <w:rsid w:val="00541592"/>
    <w:rsid w:val="00542027"/>
    <w:rsid w:val="00555295"/>
    <w:rsid w:val="00565CE6"/>
    <w:rsid w:val="00567D76"/>
    <w:rsid w:val="00570950"/>
    <w:rsid w:val="005772D6"/>
    <w:rsid w:val="0058514B"/>
    <w:rsid w:val="0059099F"/>
    <w:rsid w:val="00594C3C"/>
    <w:rsid w:val="005956FE"/>
    <w:rsid w:val="005A71B2"/>
    <w:rsid w:val="005A725C"/>
    <w:rsid w:val="005B0E2A"/>
    <w:rsid w:val="005C0C2F"/>
    <w:rsid w:val="005C2D3E"/>
    <w:rsid w:val="005C4D60"/>
    <w:rsid w:val="005D235A"/>
    <w:rsid w:val="005D56DA"/>
    <w:rsid w:val="005D5DD8"/>
    <w:rsid w:val="005D7853"/>
    <w:rsid w:val="005E6AD1"/>
    <w:rsid w:val="005F0E4D"/>
    <w:rsid w:val="005F1620"/>
    <w:rsid w:val="00601E0F"/>
    <w:rsid w:val="00607191"/>
    <w:rsid w:val="00612148"/>
    <w:rsid w:val="00626AB0"/>
    <w:rsid w:val="0062785F"/>
    <w:rsid w:val="00631D86"/>
    <w:rsid w:val="00636488"/>
    <w:rsid w:val="00637EBA"/>
    <w:rsid w:val="00643F29"/>
    <w:rsid w:val="00644695"/>
    <w:rsid w:val="00647B6A"/>
    <w:rsid w:val="00656035"/>
    <w:rsid w:val="00674953"/>
    <w:rsid w:val="00681022"/>
    <w:rsid w:val="00685FE6"/>
    <w:rsid w:val="0069624F"/>
    <w:rsid w:val="006A0F40"/>
    <w:rsid w:val="006B1D53"/>
    <w:rsid w:val="006C4794"/>
    <w:rsid w:val="006C73F3"/>
    <w:rsid w:val="006C7882"/>
    <w:rsid w:val="006C79EA"/>
    <w:rsid w:val="006D5717"/>
    <w:rsid w:val="006E552E"/>
    <w:rsid w:val="006F4FFA"/>
    <w:rsid w:val="00705979"/>
    <w:rsid w:val="007163D0"/>
    <w:rsid w:val="0072564F"/>
    <w:rsid w:val="007340C7"/>
    <w:rsid w:val="00740609"/>
    <w:rsid w:val="007438A1"/>
    <w:rsid w:val="00746F19"/>
    <w:rsid w:val="0075272D"/>
    <w:rsid w:val="00766462"/>
    <w:rsid w:val="00767826"/>
    <w:rsid w:val="00777BF2"/>
    <w:rsid w:val="00784935"/>
    <w:rsid w:val="00790EE6"/>
    <w:rsid w:val="00792BBA"/>
    <w:rsid w:val="00794DF7"/>
    <w:rsid w:val="007A2CE0"/>
    <w:rsid w:val="007C16D8"/>
    <w:rsid w:val="007C29B6"/>
    <w:rsid w:val="007C6306"/>
    <w:rsid w:val="007C6C56"/>
    <w:rsid w:val="007D1EC1"/>
    <w:rsid w:val="007D2996"/>
    <w:rsid w:val="007D57FD"/>
    <w:rsid w:val="007E022F"/>
    <w:rsid w:val="007E2C5F"/>
    <w:rsid w:val="007E6B0C"/>
    <w:rsid w:val="007F1AD5"/>
    <w:rsid w:val="007F1BBC"/>
    <w:rsid w:val="007F1E56"/>
    <w:rsid w:val="007F2FE5"/>
    <w:rsid w:val="008027D9"/>
    <w:rsid w:val="00806BA5"/>
    <w:rsid w:val="00811E3A"/>
    <w:rsid w:val="0081625A"/>
    <w:rsid w:val="00820EDA"/>
    <w:rsid w:val="0082587D"/>
    <w:rsid w:val="00842DC6"/>
    <w:rsid w:val="00851383"/>
    <w:rsid w:val="00853E6C"/>
    <w:rsid w:val="0085681A"/>
    <w:rsid w:val="00863072"/>
    <w:rsid w:val="008642F0"/>
    <w:rsid w:val="00865745"/>
    <w:rsid w:val="008748C2"/>
    <w:rsid w:val="0087566D"/>
    <w:rsid w:val="00876E87"/>
    <w:rsid w:val="008819CA"/>
    <w:rsid w:val="00882EF8"/>
    <w:rsid w:val="008964B9"/>
    <w:rsid w:val="008A053C"/>
    <w:rsid w:val="008B2A1C"/>
    <w:rsid w:val="008B402E"/>
    <w:rsid w:val="008B5081"/>
    <w:rsid w:val="008B687A"/>
    <w:rsid w:val="008C2633"/>
    <w:rsid w:val="008C4533"/>
    <w:rsid w:val="008D1108"/>
    <w:rsid w:val="008D2F8E"/>
    <w:rsid w:val="008D36B7"/>
    <w:rsid w:val="008D5DCB"/>
    <w:rsid w:val="008E466F"/>
    <w:rsid w:val="008E6ACD"/>
    <w:rsid w:val="008F1080"/>
    <w:rsid w:val="008F6657"/>
    <w:rsid w:val="00900095"/>
    <w:rsid w:val="00901AF4"/>
    <w:rsid w:val="00902439"/>
    <w:rsid w:val="0090316A"/>
    <w:rsid w:val="00913F78"/>
    <w:rsid w:val="00921EA0"/>
    <w:rsid w:val="00943CD4"/>
    <w:rsid w:val="00955E61"/>
    <w:rsid w:val="009625FB"/>
    <w:rsid w:val="00963B3B"/>
    <w:rsid w:val="009763B7"/>
    <w:rsid w:val="009A2E89"/>
    <w:rsid w:val="009C0194"/>
    <w:rsid w:val="009C07FA"/>
    <w:rsid w:val="009C6827"/>
    <w:rsid w:val="009F29B6"/>
    <w:rsid w:val="009F7124"/>
    <w:rsid w:val="00A01576"/>
    <w:rsid w:val="00A03360"/>
    <w:rsid w:val="00A076F8"/>
    <w:rsid w:val="00A11B6B"/>
    <w:rsid w:val="00A249DF"/>
    <w:rsid w:val="00A44209"/>
    <w:rsid w:val="00A46857"/>
    <w:rsid w:val="00A51927"/>
    <w:rsid w:val="00A56E5F"/>
    <w:rsid w:val="00A57512"/>
    <w:rsid w:val="00A65294"/>
    <w:rsid w:val="00A65DDC"/>
    <w:rsid w:val="00A832D3"/>
    <w:rsid w:val="00A9374D"/>
    <w:rsid w:val="00AC2A29"/>
    <w:rsid w:val="00AC5E71"/>
    <w:rsid w:val="00AD7756"/>
    <w:rsid w:val="00AE3558"/>
    <w:rsid w:val="00AF33A8"/>
    <w:rsid w:val="00AF423E"/>
    <w:rsid w:val="00B15517"/>
    <w:rsid w:val="00B217FA"/>
    <w:rsid w:val="00B334DA"/>
    <w:rsid w:val="00B4356F"/>
    <w:rsid w:val="00B54659"/>
    <w:rsid w:val="00B6088A"/>
    <w:rsid w:val="00B70593"/>
    <w:rsid w:val="00B74616"/>
    <w:rsid w:val="00B80BC3"/>
    <w:rsid w:val="00B92F2E"/>
    <w:rsid w:val="00BA21D1"/>
    <w:rsid w:val="00BA6FB8"/>
    <w:rsid w:val="00BA7816"/>
    <w:rsid w:val="00BA7842"/>
    <w:rsid w:val="00BD1F20"/>
    <w:rsid w:val="00BF0BE7"/>
    <w:rsid w:val="00BF1394"/>
    <w:rsid w:val="00BF3A69"/>
    <w:rsid w:val="00BF5604"/>
    <w:rsid w:val="00BF6060"/>
    <w:rsid w:val="00C03291"/>
    <w:rsid w:val="00C07031"/>
    <w:rsid w:val="00C2402F"/>
    <w:rsid w:val="00C27809"/>
    <w:rsid w:val="00C30503"/>
    <w:rsid w:val="00C31E5D"/>
    <w:rsid w:val="00C3303A"/>
    <w:rsid w:val="00C50632"/>
    <w:rsid w:val="00C51E4E"/>
    <w:rsid w:val="00C55719"/>
    <w:rsid w:val="00C60D2C"/>
    <w:rsid w:val="00C653EA"/>
    <w:rsid w:val="00C74813"/>
    <w:rsid w:val="00C85168"/>
    <w:rsid w:val="00C951B2"/>
    <w:rsid w:val="00CA163D"/>
    <w:rsid w:val="00CA37D0"/>
    <w:rsid w:val="00CA719E"/>
    <w:rsid w:val="00CB2403"/>
    <w:rsid w:val="00CB6D70"/>
    <w:rsid w:val="00CC0391"/>
    <w:rsid w:val="00CC53C7"/>
    <w:rsid w:val="00CD034F"/>
    <w:rsid w:val="00CD6A25"/>
    <w:rsid w:val="00CE2D1F"/>
    <w:rsid w:val="00CF33DD"/>
    <w:rsid w:val="00CF61A3"/>
    <w:rsid w:val="00CF6E80"/>
    <w:rsid w:val="00D0407B"/>
    <w:rsid w:val="00D157E3"/>
    <w:rsid w:val="00D16A4D"/>
    <w:rsid w:val="00D21BB3"/>
    <w:rsid w:val="00D22689"/>
    <w:rsid w:val="00D269F0"/>
    <w:rsid w:val="00D33419"/>
    <w:rsid w:val="00D34AA5"/>
    <w:rsid w:val="00D35970"/>
    <w:rsid w:val="00D41C5F"/>
    <w:rsid w:val="00D47AA8"/>
    <w:rsid w:val="00D503E3"/>
    <w:rsid w:val="00D52353"/>
    <w:rsid w:val="00D52E1D"/>
    <w:rsid w:val="00D53B29"/>
    <w:rsid w:val="00D56BA7"/>
    <w:rsid w:val="00D62A17"/>
    <w:rsid w:val="00D658BD"/>
    <w:rsid w:val="00D70A8C"/>
    <w:rsid w:val="00D71723"/>
    <w:rsid w:val="00D972B3"/>
    <w:rsid w:val="00DA2890"/>
    <w:rsid w:val="00DA60FC"/>
    <w:rsid w:val="00DA624D"/>
    <w:rsid w:val="00DB1524"/>
    <w:rsid w:val="00DB4765"/>
    <w:rsid w:val="00DC1100"/>
    <w:rsid w:val="00DC55B8"/>
    <w:rsid w:val="00DE0471"/>
    <w:rsid w:val="00DE07BA"/>
    <w:rsid w:val="00DE1DD2"/>
    <w:rsid w:val="00DE6C37"/>
    <w:rsid w:val="00E218D0"/>
    <w:rsid w:val="00E32EBA"/>
    <w:rsid w:val="00E3348F"/>
    <w:rsid w:val="00E41F29"/>
    <w:rsid w:val="00E42D8C"/>
    <w:rsid w:val="00E53364"/>
    <w:rsid w:val="00E56E36"/>
    <w:rsid w:val="00E6245A"/>
    <w:rsid w:val="00E63669"/>
    <w:rsid w:val="00E63DCC"/>
    <w:rsid w:val="00E6446C"/>
    <w:rsid w:val="00E65F06"/>
    <w:rsid w:val="00E678F1"/>
    <w:rsid w:val="00E71897"/>
    <w:rsid w:val="00E84A91"/>
    <w:rsid w:val="00E84F04"/>
    <w:rsid w:val="00E922A7"/>
    <w:rsid w:val="00E93E1D"/>
    <w:rsid w:val="00E9795D"/>
    <w:rsid w:val="00EA4CE5"/>
    <w:rsid w:val="00EB1E12"/>
    <w:rsid w:val="00EB32C0"/>
    <w:rsid w:val="00EB3A07"/>
    <w:rsid w:val="00EC1EEC"/>
    <w:rsid w:val="00EC5A2A"/>
    <w:rsid w:val="00ED36A7"/>
    <w:rsid w:val="00ED7CAC"/>
    <w:rsid w:val="00EE1F07"/>
    <w:rsid w:val="00EE2059"/>
    <w:rsid w:val="00EE6726"/>
    <w:rsid w:val="00EF1A42"/>
    <w:rsid w:val="00F057F7"/>
    <w:rsid w:val="00F14211"/>
    <w:rsid w:val="00F23637"/>
    <w:rsid w:val="00F30DF2"/>
    <w:rsid w:val="00F33811"/>
    <w:rsid w:val="00F35468"/>
    <w:rsid w:val="00F401B7"/>
    <w:rsid w:val="00F44368"/>
    <w:rsid w:val="00F602F9"/>
    <w:rsid w:val="00F60DE3"/>
    <w:rsid w:val="00F61313"/>
    <w:rsid w:val="00F7103B"/>
    <w:rsid w:val="00F73662"/>
    <w:rsid w:val="00F8004F"/>
    <w:rsid w:val="00F84910"/>
    <w:rsid w:val="00F84B08"/>
    <w:rsid w:val="00F877C0"/>
    <w:rsid w:val="00F87F7B"/>
    <w:rsid w:val="00F972E3"/>
    <w:rsid w:val="00FA7537"/>
    <w:rsid w:val="00FA7BCE"/>
    <w:rsid w:val="00FB12FF"/>
    <w:rsid w:val="00FC2F99"/>
    <w:rsid w:val="00FC3AD4"/>
    <w:rsid w:val="00FD5174"/>
    <w:rsid w:val="00FE3A1B"/>
    <w:rsid w:val="00FF4BAC"/>
    <w:rsid w:val="00F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33DD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F33D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62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2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4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7F1BB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F1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86;&#1073;&#1098;&#1077;&#1084;&#1099;%20&#1082;&#1072;&#1088;&#1090;&#1086;&#1092;&#1077;&#1083;&#1103;%20&#1087;&#1086;%20&#1089;&#1086;&#1088;&#1090;&#1072;&#1084;%20&#1080;%20&#1087;&#1086;&#1088;&#1072;&#1078;&#1077;&#1085;&#1085;&#1086;&#1089;&#1090;&#1100;%20&#1073;&#1086;&#1083;&#1077;&#1079;&#1085;&#1103;&#1084;&#108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9437248434293802E-2"/>
          <c:y val="4.3691304763675443E-2"/>
          <c:w val="0.8497888923054101"/>
          <c:h val="0.65822693707892765"/>
        </c:manualLayout>
      </c:layout>
      <c:barChart>
        <c:barDir val="col"/>
        <c:grouping val="clustered"/>
        <c:ser>
          <c:idx val="0"/>
          <c:order val="0"/>
          <c:tx>
            <c:strRef>
              <c:f>Пшеница!$A$3:$B$3</c:f>
              <c:strCache>
                <c:ptCount val="1"/>
                <c:pt idx="0">
                  <c:v>объем высаженного картофеля, %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Пшеница!$C$2:$P$2</c:f>
              <c:strCache>
                <c:ptCount val="14"/>
                <c:pt idx="0">
                  <c:v>Арамис</c:v>
                </c:pt>
                <c:pt idx="1">
                  <c:v>Ароза</c:v>
                </c:pt>
                <c:pt idx="2">
                  <c:v>Вега</c:v>
                </c:pt>
                <c:pt idx="3">
                  <c:v>Венди</c:v>
                </c:pt>
                <c:pt idx="4">
                  <c:v>Гала</c:v>
                </c:pt>
                <c:pt idx="5">
                  <c:v>Кемеровчанин</c:v>
                </c:pt>
                <c:pt idx="6">
                  <c:v>Королева Анна</c:v>
                </c:pt>
                <c:pt idx="7">
                  <c:v>Молли</c:v>
                </c:pt>
                <c:pt idx="8">
                  <c:v>Ред Леди</c:v>
                </c:pt>
                <c:pt idx="9">
                  <c:v>Ред Скарлет</c:v>
                </c:pt>
                <c:pt idx="10">
                  <c:v>Родрига</c:v>
                </c:pt>
                <c:pt idx="11">
                  <c:v>Танай</c:v>
                </c:pt>
                <c:pt idx="12">
                  <c:v>Тулеевский</c:v>
                </c:pt>
                <c:pt idx="13">
                  <c:v>Фиделия </c:v>
                </c:pt>
              </c:strCache>
            </c:strRef>
          </c:cat>
          <c:val>
            <c:numRef>
              <c:f>Пшеница!$C$3:$P$3</c:f>
              <c:numCache>
                <c:formatCode>General</c:formatCode>
                <c:ptCount val="14"/>
                <c:pt idx="0">
                  <c:v>1.2</c:v>
                </c:pt>
                <c:pt idx="1">
                  <c:v>1.7000000000000004</c:v>
                </c:pt>
                <c:pt idx="2">
                  <c:v>3.6</c:v>
                </c:pt>
                <c:pt idx="3">
                  <c:v>2.2999999999999998</c:v>
                </c:pt>
                <c:pt idx="4">
                  <c:v>56.7</c:v>
                </c:pt>
                <c:pt idx="5">
                  <c:v>0.9</c:v>
                </c:pt>
                <c:pt idx="6">
                  <c:v>8.7000000000000011</c:v>
                </c:pt>
                <c:pt idx="7">
                  <c:v>11.6</c:v>
                </c:pt>
                <c:pt idx="8">
                  <c:v>1.7000000000000004</c:v>
                </c:pt>
                <c:pt idx="9">
                  <c:v>5.3</c:v>
                </c:pt>
                <c:pt idx="10">
                  <c:v>1.8</c:v>
                </c:pt>
                <c:pt idx="11">
                  <c:v>1.4</c:v>
                </c:pt>
                <c:pt idx="12">
                  <c:v>1.4</c:v>
                </c:pt>
                <c:pt idx="13" formatCode="0">
                  <c:v>0.9</c:v>
                </c:pt>
              </c:numCache>
            </c:numRef>
          </c:val>
        </c:ser>
        <c:axId val="89248512"/>
        <c:axId val="89250048"/>
      </c:barChart>
      <c:lineChart>
        <c:grouping val="standard"/>
        <c:ser>
          <c:idx val="1"/>
          <c:order val="1"/>
          <c:tx>
            <c:strRef>
              <c:f>Пшеница!$A$4:$B$4</c:f>
              <c:strCache>
                <c:ptCount val="1"/>
                <c:pt idx="0">
                  <c:v>пораженность болезнями, 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marker>
          <c:dLbls>
            <c:dLbl>
              <c:idx val="0"/>
              <c:layout>
                <c:manualLayout>
                  <c:x val="-7.7444336882865512E-3"/>
                  <c:y val="-2.7777777777777892E-3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6151997215256195E-2"/>
                  <c:y val="-3.585673665791781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7.7445353212746114E-3"/>
                  <c:y val="-4.1878608923884515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9.9333033516018666E-3"/>
                  <c:y val="-4.7667541557305418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1.0949843128289071E-3"/>
                  <c:y val="2.2476473523182546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1.9529693347866882E-2"/>
                  <c:y val="-3.2845581802274773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2.5814778960955198E-3"/>
                  <c:y val="-2.3600612423447121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1.5768561359646143E-2"/>
                  <c:y val="-3.6323053368328959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3.9260823278019645E-4"/>
                  <c:y val="-2.2667541557305396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5.6295374046134387E-3"/>
                  <c:y val="-3.6111204767809969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2.3233301064859695E-2"/>
                  <c:y val="-4.1666666666666685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3.872216844143273E-3"/>
                  <c:y val="-3.3333333333333368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3.872216844143178E-3"/>
                  <c:y val="-3.888888888888889E-2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 val="-4.2920681397923318E-3"/>
                  <c:y val="-2.4999945868146595E-2"/>
                </c:manualLayout>
              </c:layout>
              <c:dLblPos val="r"/>
              <c:showVal val="1"/>
            </c:dLbl>
            <c:dLbl>
              <c:idx val="14"/>
              <c:layout>
                <c:manualLayout>
                  <c:x val="-2.1942562116811882E-2"/>
                  <c:y val="3.0555555555555589E-2"/>
                </c:manualLayout>
              </c:layout>
              <c:dLblPos val="r"/>
              <c:showVal val="1"/>
            </c:dLbl>
            <c:dLbl>
              <c:idx val="15"/>
              <c:layout>
                <c:manualLayout>
                  <c:x val="-1.2907389480477587E-2"/>
                  <c:y val="-4.4444444444444516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Пшеница!$C$2:$P$2</c:f>
              <c:strCache>
                <c:ptCount val="14"/>
                <c:pt idx="0">
                  <c:v>Арамис</c:v>
                </c:pt>
                <c:pt idx="1">
                  <c:v>Ароза</c:v>
                </c:pt>
                <c:pt idx="2">
                  <c:v>Вега</c:v>
                </c:pt>
                <c:pt idx="3">
                  <c:v>Венди</c:v>
                </c:pt>
                <c:pt idx="4">
                  <c:v>Гала</c:v>
                </c:pt>
                <c:pt idx="5">
                  <c:v>Кемеровчанин</c:v>
                </c:pt>
                <c:pt idx="6">
                  <c:v>Королева Анна</c:v>
                </c:pt>
                <c:pt idx="7">
                  <c:v>Молли</c:v>
                </c:pt>
                <c:pt idx="8">
                  <c:v>Ред Леди</c:v>
                </c:pt>
                <c:pt idx="9">
                  <c:v>Ред Скарлет</c:v>
                </c:pt>
                <c:pt idx="10">
                  <c:v>Родрига</c:v>
                </c:pt>
                <c:pt idx="11">
                  <c:v>Танай</c:v>
                </c:pt>
                <c:pt idx="12">
                  <c:v>Тулеевский</c:v>
                </c:pt>
                <c:pt idx="13">
                  <c:v>Фиделия </c:v>
                </c:pt>
              </c:strCache>
            </c:strRef>
          </c:cat>
          <c:val>
            <c:numRef>
              <c:f>Пшеница!$C$4:$P$4</c:f>
              <c:numCache>
                <c:formatCode>General</c:formatCode>
                <c:ptCount val="14"/>
                <c:pt idx="0">
                  <c:v>3.9</c:v>
                </c:pt>
                <c:pt idx="1">
                  <c:v>19.2</c:v>
                </c:pt>
                <c:pt idx="2">
                  <c:v>19.7</c:v>
                </c:pt>
                <c:pt idx="3">
                  <c:v>15.7</c:v>
                </c:pt>
                <c:pt idx="4">
                  <c:v>8</c:v>
                </c:pt>
                <c:pt idx="5">
                  <c:v>11.8</c:v>
                </c:pt>
                <c:pt idx="6">
                  <c:v>0.2</c:v>
                </c:pt>
                <c:pt idx="7">
                  <c:v>27.3</c:v>
                </c:pt>
                <c:pt idx="8">
                  <c:v>6.6</c:v>
                </c:pt>
                <c:pt idx="9">
                  <c:v>3.1</c:v>
                </c:pt>
                <c:pt idx="10">
                  <c:v>16.399999999999999</c:v>
                </c:pt>
                <c:pt idx="11">
                  <c:v>10.9</c:v>
                </c:pt>
                <c:pt idx="12">
                  <c:v>6.3</c:v>
                </c:pt>
                <c:pt idx="13" formatCode="0">
                  <c:v>5.7</c:v>
                </c:pt>
              </c:numCache>
            </c:numRef>
          </c:val>
        </c:ser>
        <c:marker val="1"/>
        <c:axId val="91125632"/>
        <c:axId val="92590464"/>
      </c:lineChart>
      <c:catAx>
        <c:axId val="892485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89250048"/>
        <c:crosses val="autoZero"/>
        <c:auto val="1"/>
        <c:lblAlgn val="ctr"/>
        <c:lblOffset val="100"/>
      </c:catAx>
      <c:valAx>
        <c:axId val="892500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r>
                  <a:rPr lang="ru-RU" sz="800" b="1">
                    <a:solidFill>
                      <a:sysClr val="windowText" lastClr="000000"/>
                    </a:solidFill>
                  </a:rPr>
                  <a:t>объем высаженного</a:t>
                </a:r>
                <a:r>
                  <a:rPr lang="ru-RU" sz="800" b="1" baseline="0">
                    <a:solidFill>
                      <a:sysClr val="windowText" lastClr="000000"/>
                    </a:solidFill>
                  </a:rPr>
                  <a:t> картофеля</a:t>
                </a:r>
                <a:r>
                  <a:rPr lang="ru-RU" sz="800" b="1">
                    <a:solidFill>
                      <a:sysClr val="windowText" lastClr="000000"/>
                    </a:solidFill>
                  </a:rPr>
                  <a:t>, %</a:t>
                </a:r>
              </a:p>
            </c:rich>
          </c:tx>
          <c:layout>
            <c:manualLayout>
              <c:xMode val="edge"/>
              <c:yMode val="edge"/>
              <c:x val="3.6764873681073532E-3"/>
              <c:y val="0.1012306685105492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9248512"/>
        <c:crosses val="autoZero"/>
        <c:crossBetween val="between"/>
      </c:valAx>
      <c:catAx>
        <c:axId val="91125632"/>
        <c:scaling>
          <c:orientation val="minMax"/>
        </c:scaling>
        <c:delete val="1"/>
        <c:axPos val="b"/>
        <c:tickLblPos val="nextTo"/>
        <c:crossAx val="92590464"/>
        <c:crosses val="autoZero"/>
        <c:auto val="1"/>
        <c:lblAlgn val="ctr"/>
        <c:lblOffset val="100"/>
      </c:catAx>
      <c:valAx>
        <c:axId val="92590464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800" b="1"/>
                </a:pPr>
                <a:r>
                  <a:rPr lang="ru-RU" sz="800" b="1"/>
                  <a:t>поражение болезнями, %</a:t>
                </a:r>
              </a:p>
            </c:rich>
          </c:tx>
          <c:layout>
            <c:manualLayout>
              <c:xMode val="edge"/>
              <c:yMode val="edge"/>
              <c:x val="0.96431192178238856"/>
              <c:y val="0.10307002660708664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1125632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7884138831168558E-3"/>
          <c:y val="0.92790936286189862"/>
          <c:w val="0.95370368759153823"/>
          <c:h val="7.2090769903762134E-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304554577736632"/>
          <c:y val="2.3640661938534268E-2"/>
          <c:w val="0.79381719932067318"/>
          <c:h val="0.66184843915787273"/>
        </c:manualLayout>
      </c:layout>
      <c:barChart>
        <c:barDir val="col"/>
        <c:grouping val="clustered"/>
        <c:ser>
          <c:idx val="0"/>
          <c:order val="0"/>
          <c:tx>
            <c:strRef>
              <c:f>фитофтороз!$B$4</c:f>
              <c:strCache>
                <c:ptCount val="1"/>
                <c:pt idx="0">
                  <c:v>пораженность, %</c:v>
                </c:pt>
              </c:strCache>
            </c:strRef>
          </c:tx>
          <c:spPr>
            <a:solidFill>
              <a:srgbClr val="00B050"/>
            </a:solidFill>
            <a:effectLst/>
          </c:spPr>
          <c:cat>
            <c:strRef>
              <c:f>фитофтороз!$A$5:$A$10</c:f>
              <c:strCache>
                <c:ptCount val="6"/>
                <c:pt idx="0">
                  <c:v>Арамис</c:v>
                </c:pt>
                <c:pt idx="1">
                  <c:v>Гала</c:v>
                </c:pt>
                <c:pt idx="2">
                  <c:v>Инара</c:v>
                </c:pt>
                <c:pt idx="3">
                  <c:v>Ирбитский</c:v>
                </c:pt>
                <c:pt idx="4">
                  <c:v>Кемеровчанин</c:v>
                </c:pt>
                <c:pt idx="5">
                  <c:v>Молли</c:v>
                </c:pt>
              </c:strCache>
            </c:strRef>
          </c:cat>
          <c:val>
            <c:numRef>
              <c:f>фитофтороз!$B$5:$B$10</c:f>
              <c:numCache>
                <c:formatCode>General</c:formatCode>
                <c:ptCount val="6"/>
                <c:pt idx="0">
                  <c:v>0.2</c:v>
                </c:pt>
                <c:pt idx="1">
                  <c:v>0.4</c:v>
                </c:pt>
                <c:pt idx="2">
                  <c:v>1</c:v>
                </c:pt>
                <c:pt idx="3">
                  <c:v>0.4</c:v>
                </c:pt>
                <c:pt idx="4">
                  <c:v>1.5</c:v>
                </c:pt>
                <c:pt idx="5">
                  <c:v>0.70000000000000051</c:v>
                </c:pt>
              </c:numCache>
            </c:numRef>
          </c:val>
        </c:ser>
        <c:axId val="93013120"/>
        <c:axId val="93014656"/>
      </c:barChart>
      <c:catAx>
        <c:axId val="9301312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014656"/>
        <c:crosses val="autoZero"/>
        <c:auto val="1"/>
        <c:lblAlgn val="ctr"/>
        <c:lblOffset val="100"/>
      </c:catAx>
      <c:valAx>
        <c:axId val="930146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800">
                    <a:latin typeface="Times New Roman" pitchFamily="18" charset="0"/>
                    <a:cs typeface="Times New Roman" pitchFamily="18" charset="0"/>
                  </a:rPr>
                  <a:t>пораженность, %</a:t>
                </a:r>
              </a:p>
            </c:rich>
          </c:tx>
          <c:layout>
            <c:manualLayout>
              <c:xMode val="edge"/>
              <c:yMode val="edge"/>
              <c:x val="2.0689516751582541E-2"/>
              <c:y val="3.1100686882224851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01312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3464021275737654"/>
          <c:y val="3.193474055179725E-2"/>
          <c:w val="0.73523023014711342"/>
          <c:h val="0.81168903182876795"/>
        </c:manualLayout>
      </c:layout>
      <c:barChart>
        <c:barDir val="bar"/>
        <c:grouping val="stacked"/>
        <c:ser>
          <c:idx val="0"/>
          <c:order val="0"/>
          <c:tx>
            <c:strRef>
              <c:f>парша!$B$3</c:f>
              <c:strCache>
                <c:ptCount val="1"/>
                <c:pt idx="0">
                  <c:v>ризоктониоз (черная парша)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парша!$A$4:$A$19</c:f>
              <c:strCache>
                <c:ptCount val="16"/>
                <c:pt idx="0">
                  <c:v>Арамис</c:v>
                </c:pt>
                <c:pt idx="1">
                  <c:v>Ароза</c:v>
                </c:pt>
                <c:pt idx="2">
                  <c:v>Вега</c:v>
                </c:pt>
                <c:pt idx="3">
                  <c:v>Венди</c:v>
                </c:pt>
                <c:pt idx="4">
                  <c:v>Гала</c:v>
                </c:pt>
                <c:pt idx="5">
                  <c:v>Инара</c:v>
                </c:pt>
                <c:pt idx="6">
                  <c:v>Ирбитский</c:v>
                </c:pt>
                <c:pt idx="7">
                  <c:v>Кемеровчанин</c:v>
                </c:pt>
                <c:pt idx="8">
                  <c:v>Королева Анна</c:v>
                </c:pt>
                <c:pt idx="9">
                  <c:v>Молли</c:v>
                </c:pt>
                <c:pt idx="10">
                  <c:v>Ред Леди</c:v>
                </c:pt>
                <c:pt idx="11">
                  <c:v>Ред Скарлет</c:v>
                </c:pt>
                <c:pt idx="12">
                  <c:v>Родрига</c:v>
                </c:pt>
                <c:pt idx="13">
                  <c:v>Танай</c:v>
                </c:pt>
                <c:pt idx="14">
                  <c:v>Тулеевский</c:v>
                </c:pt>
                <c:pt idx="15">
                  <c:v>Фиделия</c:v>
                </c:pt>
              </c:strCache>
            </c:strRef>
          </c:cat>
          <c:val>
            <c:numRef>
              <c:f>парша!$B$4:$B$19</c:f>
              <c:numCache>
                <c:formatCode>General</c:formatCode>
                <c:ptCount val="16"/>
                <c:pt idx="0">
                  <c:v>2.7</c:v>
                </c:pt>
                <c:pt idx="2">
                  <c:v>1</c:v>
                </c:pt>
                <c:pt idx="3">
                  <c:v>0.9</c:v>
                </c:pt>
                <c:pt idx="4">
                  <c:v>1.3</c:v>
                </c:pt>
                <c:pt idx="5">
                  <c:v>1</c:v>
                </c:pt>
                <c:pt idx="6">
                  <c:v>12.8</c:v>
                </c:pt>
                <c:pt idx="7">
                  <c:v>0.30000000000000027</c:v>
                </c:pt>
                <c:pt idx="8">
                  <c:v>1.4</c:v>
                </c:pt>
                <c:pt idx="9">
                  <c:v>0.70000000000000051</c:v>
                </c:pt>
                <c:pt idx="10">
                  <c:v>2.2999999999999998</c:v>
                </c:pt>
                <c:pt idx="11">
                  <c:v>1.2</c:v>
                </c:pt>
                <c:pt idx="12">
                  <c:v>2.6</c:v>
                </c:pt>
                <c:pt idx="13">
                  <c:v>3</c:v>
                </c:pt>
                <c:pt idx="14">
                  <c:v>2.7</c:v>
                </c:pt>
                <c:pt idx="15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парша!$C$3</c:f>
              <c:strCache>
                <c:ptCount val="1"/>
                <c:pt idx="0">
                  <c:v>парша обыкновенная</c:v>
                </c:pt>
              </c:strCache>
            </c:strRef>
          </c:tx>
          <c:spPr>
            <a:solidFill>
              <a:schemeClr val="accent1"/>
            </a:solidFill>
          </c:spPr>
          <c:cat>
            <c:strRef>
              <c:f>парша!$A$4:$A$19</c:f>
              <c:strCache>
                <c:ptCount val="16"/>
                <c:pt idx="0">
                  <c:v>Арамис</c:v>
                </c:pt>
                <c:pt idx="1">
                  <c:v>Ароза</c:v>
                </c:pt>
                <c:pt idx="2">
                  <c:v>Вега</c:v>
                </c:pt>
                <c:pt idx="3">
                  <c:v>Венди</c:v>
                </c:pt>
                <c:pt idx="4">
                  <c:v>Гала</c:v>
                </c:pt>
                <c:pt idx="5">
                  <c:v>Инара</c:v>
                </c:pt>
                <c:pt idx="6">
                  <c:v>Ирбитский</c:v>
                </c:pt>
                <c:pt idx="7">
                  <c:v>Кемеровчанин</c:v>
                </c:pt>
                <c:pt idx="8">
                  <c:v>Королева Анна</c:v>
                </c:pt>
                <c:pt idx="9">
                  <c:v>Молли</c:v>
                </c:pt>
                <c:pt idx="10">
                  <c:v>Ред Леди</c:v>
                </c:pt>
                <c:pt idx="11">
                  <c:v>Ред Скарлет</c:v>
                </c:pt>
                <c:pt idx="12">
                  <c:v>Родрига</c:v>
                </c:pt>
                <c:pt idx="13">
                  <c:v>Танай</c:v>
                </c:pt>
                <c:pt idx="14">
                  <c:v>Тулеевский</c:v>
                </c:pt>
                <c:pt idx="15">
                  <c:v>Фиделия</c:v>
                </c:pt>
              </c:strCache>
            </c:strRef>
          </c:cat>
          <c:val>
            <c:numRef>
              <c:f>парша!$C$4:$C$19</c:f>
              <c:numCache>
                <c:formatCode>General</c:formatCode>
                <c:ptCount val="16"/>
                <c:pt idx="1">
                  <c:v>1</c:v>
                </c:pt>
                <c:pt idx="3">
                  <c:v>0.9</c:v>
                </c:pt>
                <c:pt idx="4">
                  <c:v>2</c:v>
                </c:pt>
                <c:pt idx="6">
                  <c:v>1.6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2.9</c:v>
                </c:pt>
                <c:pt idx="11">
                  <c:v>1.2</c:v>
                </c:pt>
                <c:pt idx="12">
                  <c:v>0.30000000000000027</c:v>
                </c:pt>
                <c:pt idx="14">
                  <c:v>3</c:v>
                </c:pt>
              </c:numCache>
            </c:numRef>
          </c:val>
        </c:ser>
        <c:ser>
          <c:idx val="2"/>
          <c:order val="2"/>
          <c:tx>
            <c:strRef>
              <c:f>парша!$D$3</c:f>
              <c:strCache>
                <c:ptCount val="1"/>
                <c:pt idx="0">
                  <c:v>парша серебристая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парша!$A$4:$A$19</c:f>
              <c:strCache>
                <c:ptCount val="16"/>
                <c:pt idx="0">
                  <c:v>Арамис</c:v>
                </c:pt>
                <c:pt idx="1">
                  <c:v>Ароза</c:v>
                </c:pt>
                <c:pt idx="2">
                  <c:v>Вега</c:v>
                </c:pt>
                <c:pt idx="3">
                  <c:v>Венди</c:v>
                </c:pt>
                <c:pt idx="4">
                  <c:v>Гала</c:v>
                </c:pt>
                <c:pt idx="5">
                  <c:v>Инара</c:v>
                </c:pt>
                <c:pt idx="6">
                  <c:v>Ирбитский</c:v>
                </c:pt>
                <c:pt idx="7">
                  <c:v>Кемеровчанин</c:v>
                </c:pt>
                <c:pt idx="8">
                  <c:v>Королева Анна</c:v>
                </c:pt>
                <c:pt idx="9">
                  <c:v>Молли</c:v>
                </c:pt>
                <c:pt idx="10">
                  <c:v>Ред Леди</c:v>
                </c:pt>
                <c:pt idx="11">
                  <c:v>Ред Скарлет</c:v>
                </c:pt>
                <c:pt idx="12">
                  <c:v>Родрига</c:v>
                </c:pt>
                <c:pt idx="13">
                  <c:v>Танай</c:v>
                </c:pt>
                <c:pt idx="14">
                  <c:v>Тулеевский</c:v>
                </c:pt>
                <c:pt idx="15">
                  <c:v>Фиделия</c:v>
                </c:pt>
              </c:strCache>
            </c:strRef>
          </c:cat>
          <c:val>
            <c:numRef>
              <c:f>парша!$D$4:$D$19</c:f>
              <c:numCache>
                <c:formatCode>General</c:formatCode>
                <c:ptCount val="16"/>
                <c:pt idx="2">
                  <c:v>0.4</c:v>
                </c:pt>
                <c:pt idx="4">
                  <c:v>1.4</c:v>
                </c:pt>
                <c:pt idx="7">
                  <c:v>1.1000000000000001</c:v>
                </c:pt>
                <c:pt idx="9">
                  <c:v>16.100000000000001</c:v>
                </c:pt>
                <c:pt idx="13">
                  <c:v>0.30000000000000027</c:v>
                </c:pt>
              </c:numCache>
            </c:numRef>
          </c:val>
        </c:ser>
        <c:overlap val="100"/>
        <c:axId val="78131584"/>
        <c:axId val="78133120"/>
      </c:barChart>
      <c:catAx>
        <c:axId val="7813158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133120"/>
        <c:crosses val="autoZero"/>
        <c:auto val="1"/>
        <c:lblAlgn val="ctr"/>
        <c:lblOffset val="100"/>
      </c:catAx>
      <c:valAx>
        <c:axId val="781331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800">
                    <a:latin typeface="Times New Roman" pitchFamily="18" charset="0"/>
                    <a:cs typeface="Times New Roman" pitchFamily="18" charset="0"/>
                  </a:rPr>
                  <a:t>пораженность,%</a:t>
                </a:r>
              </a:p>
            </c:rich>
          </c:tx>
          <c:layout>
            <c:manualLayout>
              <c:xMode val="edge"/>
              <c:yMode val="edge"/>
              <c:x val="0.85529626867231301"/>
              <c:y val="0.895588882214808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131584"/>
        <c:crosses val="autoZero"/>
        <c:crossBetween val="between"/>
      </c:valAx>
    </c:plotArea>
    <c:legend>
      <c:legendPos val="b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7AD7-73C8-4676-9EC8-1794DE79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Zina_</cp:lastModifiedBy>
  <cp:revision>39</cp:revision>
  <cp:lastPrinted>2018-07-16T08:37:00Z</cp:lastPrinted>
  <dcterms:created xsi:type="dcterms:W3CDTF">2018-06-07T04:11:00Z</dcterms:created>
  <dcterms:modified xsi:type="dcterms:W3CDTF">2018-07-17T02:38:00Z</dcterms:modified>
</cp:coreProperties>
</file>