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12" w:rsidRDefault="00140BAA" w:rsidP="006D5E12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D5E12">
        <w:rPr>
          <w:rFonts w:ascii="Times New Roman" w:hAnsi="Times New Roman" w:cs="Times New Roman"/>
          <w:b/>
          <w:sz w:val="28"/>
          <w:szCs w:val="28"/>
        </w:rPr>
        <w:t>Ка</w:t>
      </w:r>
      <w:r w:rsidR="006D5E12" w:rsidRPr="006D5E12">
        <w:rPr>
          <w:rFonts w:ascii="Times New Roman" w:hAnsi="Times New Roman" w:cs="Times New Roman"/>
          <w:b/>
          <w:sz w:val="28"/>
          <w:szCs w:val="28"/>
        </w:rPr>
        <w:t>чественные препараты – залог будущего урожая</w:t>
      </w:r>
      <w:r w:rsidR="006D5E12">
        <w:rPr>
          <w:rFonts w:ascii="Times New Roman" w:hAnsi="Times New Roman" w:cs="Times New Roman"/>
          <w:sz w:val="28"/>
          <w:szCs w:val="28"/>
        </w:rPr>
        <w:t>!</w:t>
      </w:r>
    </w:p>
    <w:p w:rsidR="00F96489" w:rsidRDefault="00D70934" w:rsidP="00EF47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262255</wp:posOffset>
            </wp:positionV>
            <wp:extent cx="2324100" cy="3022600"/>
            <wp:effectExtent l="19050" t="0" r="0" b="0"/>
            <wp:wrapTight wrapText="bothSides">
              <wp:wrapPolygon edited="0">
                <wp:start x="-177" y="0"/>
                <wp:lineTo x="-177" y="21509"/>
                <wp:lineTo x="21600" y="21509"/>
                <wp:lineTo x="21600" y="0"/>
                <wp:lineTo x="-177" y="0"/>
              </wp:wrapPolygon>
            </wp:wrapTight>
            <wp:docPr id="2" name="Рисунок 1" descr="C:\Users\User\Desktop\Рис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ис5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6CD1" w:rsidRPr="00EF4700" w:rsidRDefault="00C85105" w:rsidP="00EF470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4700">
        <w:rPr>
          <w:rFonts w:ascii="Times New Roman" w:hAnsi="Times New Roman" w:cs="Times New Roman"/>
          <w:sz w:val="24"/>
          <w:szCs w:val="24"/>
        </w:rPr>
        <w:t xml:space="preserve">В Красноярском крае </w:t>
      </w:r>
      <w:r w:rsidR="00EF4700" w:rsidRPr="00EF4700">
        <w:rPr>
          <w:rFonts w:ascii="Times New Roman" w:hAnsi="Times New Roman" w:cs="Times New Roman"/>
          <w:sz w:val="24"/>
          <w:szCs w:val="24"/>
        </w:rPr>
        <w:t>действует</w:t>
      </w:r>
      <w:r w:rsidRPr="00EF4700">
        <w:rPr>
          <w:rFonts w:ascii="Times New Roman" w:hAnsi="Times New Roman" w:cs="Times New Roman"/>
          <w:sz w:val="24"/>
          <w:szCs w:val="24"/>
        </w:rPr>
        <w:t xml:space="preserve"> долгосрочная целевая программа </w:t>
      </w:r>
      <w:r w:rsidR="003F77A2" w:rsidRPr="00EF4700">
        <w:rPr>
          <w:rFonts w:ascii="Times New Roman" w:hAnsi="Times New Roman" w:cs="Times New Roman"/>
          <w:sz w:val="24"/>
          <w:szCs w:val="24"/>
        </w:rPr>
        <w:t>развития сельского хозяйства</w:t>
      </w:r>
      <w:r w:rsidR="00EF4700" w:rsidRPr="00EF4700">
        <w:rPr>
          <w:rFonts w:ascii="Times New Roman" w:hAnsi="Times New Roman" w:cs="Times New Roman"/>
          <w:sz w:val="24"/>
          <w:szCs w:val="24"/>
        </w:rPr>
        <w:t>, в которой предусмотрены основные направления государственной поддержки субъектов агропромышленного комплекса края</w:t>
      </w:r>
      <w:r w:rsidR="003A1538" w:rsidRPr="00EF4700">
        <w:rPr>
          <w:rFonts w:ascii="Times New Roman" w:hAnsi="Times New Roman" w:cs="Times New Roman"/>
          <w:sz w:val="24"/>
          <w:szCs w:val="24"/>
        </w:rPr>
        <w:t>.</w:t>
      </w:r>
      <w:r w:rsidR="003F77A2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EF4700">
        <w:rPr>
          <w:rFonts w:ascii="Times New Roman" w:hAnsi="Times New Roman" w:cs="Times New Roman"/>
          <w:sz w:val="24"/>
          <w:szCs w:val="24"/>
        </w:rPr>
        <w:t>В связи с этим е</w:t>
      </w:r>
      <w:r w:rsidR="003F77A2" w:rsidRPr="00EF4700">
        <w:rPr>
          <w:rFonts w:ascii="Times New Roman" w:hAnsi="Times New Roman" w:cs="Times New Roman"/>
          <w:sz w:val="24"/>
          <w:szCs w:val="24"/>
        </w:rPr>
        <w:t>жегодно</w:t>
      </w:r>
      <w:r w:rsidR="00805BAB" w:rsidRPr="00EF4700">
        <w:rPr>
          <w:rFonts w:ascii="Times New Roman" w:hAnsi="Times New Roman" w:cs="Times New Roman"/>
          <w:sz w:val="24"/>
          <w:szCs w:val="24"/>
        </w:rPr>
        <w:t xml:space="preserve"> из </w:t>
      </w:r>
      <w:r w:rsidR="00EF4700">
        <w:rPr>
          <w:rFonts w:ascii="Times New Roman" w:hAnsi="Times New Roman" w:cs="Times New Roman"/>
          <w:sz w:val="24"/>
          <w:szCs w:val="24"/>
        </w:rPr>
        <w:t xml:space="preserve">краевого </w:t>
      </w:r>
      <w:r w:rsidR="00805BAB" w:rsidRPr="00EF4700">
        <w:rPr>
          <w:rFonts w:ascii="Times New Roman" w:hAnsi="Times New Roman" w:cs="Times New Roman"/>
          <w:sz w:val="24"/>
          <w:szCs w:val="24"/>
        </w:rPr>
        <w:t>бюджета</w:t>
      </w:r>
      <w:r w:rsidR="00D431B8" w:rsidRPr="00EF4700">
        <w:rPr>
          <w:rFonts w:ascii="Times New Roman" w:hAnsi="Times New Roman" w:cs="Times New Roman"/>
          <w:sz w:val="24"/>
          <w:szCs w:val="24"/>
        </w:rPr>
        <w:t xml:space="preserve"> выделяются средства для приобретения и безвозмездной передачи средств защиты растений для </w:t>
      </w:r>
      <w:r w:rsidR="008051E8" w:rsidRPr="00EF4700">
        <w:rPr>
          <w:rFonts w:ascii="Times New Roman" w:hAnsi="Times New Roman" w:cs="Times New Roman"/>
          <w:sz w:val="24"/>
          <w:szCs w:val="24"/>
        </w:rPr>
        <w:t>предпосевной обработки семян</w:t>
      </w:r>
      <w:r w:rsidR="00D431B8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AB6C7E" w:rsidRPr="00EF4700">
        <w:rPr>
          <w:rFonts w:ascii="Times New Roman" w:hAnsi="Times New Roman" w:cs="Times New Roman"/>
          <w:sz w:val="24"/>
          <w:szCs w:val="24"/>
        </w:rPr>
        <w:t>и химической прополки посевов.</w:t>
      </w:r>
      <w:r w:rsidR="002F2EB7" w:rsidRPr="00EF4700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государственного контракта приобретенные препараты должны пройти </w:t>
      </w:r>
      <w:r w:rsidR="002F7605" w:rsidRPr="00EF4700">
        <w:rPr>
          <w:rFonts w:ascii="Times New Roman" w:hAnsi="Times New Roman" w:cs="Times New Roman"/>
          <w:sz w:val="24"/>
          <w:szCs w:val="24"/>
        </w:rPr>
        <w:t>контроль качества</w:t>
      </w:r>
      <w:r w:rsidR="00C05665" w:rsidRPr="00EF4700">
        <w:rPr>
          <w:rFonts w:ascii="Times New Roman" w:hAnsi="Times New Roman" w:cs="Times New Roman"/>
          <w:sz w:val="24"/>
          <w:szCs w:val="24"/>
        </w:rPr>
        <w:t xml:space="preserve"> на содержание</w:t>
      </w:r>
      <w:r w:rsidR="00786FEF" w:rsidRPr="00786FEF">
        <w:rPr>
          <w:rFonts w:ascii="Times New Roman" w:hAnsi="Times New Roman" w:cs="Times New Roman"/>
          <w:sz w:val="24"/>
          <w:szCs w:val="24"/>
        </w:rPr>
        <w:t xml:space="preserve"> </w:t>
      </w:r>
      <w:r w:rsidR="00786FEF">
        <w:rPr>
          <w:rFonts w:ascii="Times New Roman" w:hAnsi="Times New Roman" w:cs="Times New Roman"/>
          <w:sz w:val="24"/>
          <w:szCs w:val="24"/>
        </w:rPr>
        <w:t>действующих веществ</w:t>
      </w:r>
      <w:r w:rsidR="0087492E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786FEF">
        <w:rPr>
          <w:rFonts w:ascii="Times New Roman" w:hAnsi="Times New Roman" w:cs="Times New Roman"/>
          <w:sz w:val="24"/>
          <w:szCs w:val="24"/>
        </w:rPr>
        <w:t>(</w:t>
      </w:r>
      <w:r w:rsidR="00C05665" w:rsidRPr="00EF4700">
        <w:rPr>
          <w:rFonts w:ascii="Times New Roman" w:hAnsi="Times New Roman" w:cs="Times New Roman"/>
          <w:sz w:val="24"/>
          <w:szCs w:val="24"/>
        </w:rPr>
        <w:t>ДВ</w:t>
      </w:r>
      <w:r w:rsidR="00786FEF">
        <w:rPr>
          <w:rFonts w:ascii="Times New Roman" w:hAnsi="Times New Roman" w:cs="Times New Roman"/>
          <w:sz w:val="24"/>
          <w:szCs w:val="24"/>
        </w:rPr>
        <w:t>)</w:t>
      </w:r>
      <w:r w:rsidR="002F7605" w:rsidRPr="00EF4700">
        <w:rPr>
          <w:rFonts w:ascii="Times New Roman" w:hAnsi="Times New Roman" w:cs="Times New Roman"/>
          <w:sz w:val="24"/>
          <w:szCs w:val="24"/>
        </w:rPr>
        <w:t>.</w:t>
      </w:r>
      <w:r w:rsidR="00416CD1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Pr="00EF4700">
        <w:rPr>
          <w:rFonts w:ascii="Times New Roman" w:hAnsi="Times New Roman" w:cs="Times New Roman"/>
          <w:sz w:val="24"/>
          <w:szCs w:val="24"/>
        </w:rPr>
        <w:t>Испытательная лаборатория</w:t>
      </w:r>
      <w:r w:rsidR="008343AD">
        <w:rPr>
          <w:rFonts w:ascii="Times New Roman" w:hAnsi="Times New Roman" w:cs="Times New Roman"/>
          <w:sz w:val="24"/>
          <w:szCs w:val="24"/>
        </w:rPr>
        <w:t xml:space="preserve"> (ИЛ)</w:t>
      </w:r>
      <w:r w:rsidRPr="00EF4700">
        <w:rPr>
          <w:rFonts w:ascii="Times New Roman" w:hAnsi="Times New Roman" w:cs="Times New Roman"/>
          <w:sz w:val="24"/>
          <w:szCs w:val="24"/>
        </w:rPr>
        <w:t xml:space="preserve"> филиала ФГБУ «Россельхозцентр» по Красноярскому краю </w:t>
      </w:r>
      <w:r w:rsidR="00EF4700">
        <w:rPr>
          <w:rFonts w:ascii="Times New Roman" w:hAnsi="Times New Roman" w:cs="Times New Roman"/>
          <w:sz w:val="24"/>
          <w:szCs w:val="24"/>
        </w:rPr>
        <w:t>совместно</w:t>
      </w:r>
      <w:r w:rsidRPr="00EF4700">
        <w:rPr>
          <w:rFonts w:ascii="Times New Roman" w:hAnsi="Times New Roman" w:cs="Times New Roman"/>
          <w:sz w:val="24"/>
          <w:szCs w:val="24"/>
        </w:rPr>
        <w:t xml:space="preserve"> со специалистами Министерства сельского хозяйства края</w:t>
      </w:r>
      <w:r w:rsidR="00831CD4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Pr="00EF4700">
        <w:rPr>
          <w:rFonts w:ascii="Times New Roman" w:hAnsi="Times New Roman" w:cs="Times New Roman"/>
          <w:sz w:val="24"/>
          <w:szCs w:val="24"/>
        </w:rPr>
        <w:t>проводит отбор закупленных препаратов для дальнейшег</w:t>
      </w:r>
      <w:r w:rsidR="00EF4700">
        <w:rPr>
          <w:rFonts w:ascii="Times New Roman" w:hAnsi="Times New Roman" w:cs="Times New Roman"/>
          <w:sz w:val="24"/>
          <w:szCs w:val="24"/>
        </w:rPr>
        <w:t>о их анализа на содержание ДВ.</w:t>
      </w:r>
    </w:p>
    <w:p w:rsidR="00D70934" w:rsidRDefault="00C85105" w:rsidP="00D70934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4700">
        <w:rPr>
          <w:rFonts w:ascii="Times New Roman" w:hAnsi="Times New Roman" w:cs="Times New Roman"/>
          <w:sz w:val="24"/>
          <w:szCs w:val="24"/>
        </w:rPr>
        <w:t>За время существования программы</w:t>
      </w:r>
      <w:r w:rsidR="00BB15BC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Pr="00EF4700">
        <w:rPr>
          <w:rFonts w:ascii="Times New Roman" w:hAnsi="Times New Roman" w:cs="Times New Roman"/>
          <w:sz w:val="24"/>
          <w:szCs w:val="24"/>
        </w:rPr>
        <w:t>закуп</w:t>
      </w:r>
      <w:r w:rsidR="00BE6F1D">
        <w:rPr>
          <w:rFonts w:ascii="Times New Roman" w:hAnsi="Times New Roman" w:cs="Times New Roman"/>
          <w:sz w:val="24"/>
          <w:szCs w:val="24"/>
        </w:rPr>
        <w:t>ались</w:t>
      </w:r>
      <w:r w:rsidRPr="00EF4700">
        <w:rPr>
          <w:rFonts w:ascii="Times New Roman" w:hAnsi="Times New Roman" w:cs="Times New Roman"/>
          <w:sz w:val="24"/>
          <w:szCs w:val="24"/>
        </w:rPr>
        <w:t xml:space="preserve"> протравители для обработки семян зерновых культур</w:t>
      </w:r>
      <w:r w:rsidR="00BB15BC" w:rsidRPr="00EF4700">
        <w:rPr>
          <w:rFonts w:ascii="Times New Roman" w:hAnsi="Times New Roman" w:cs="Times New Roman"/>
          <w:sz w:val="24"/>
          <w:szCs w:val="24"/>
        </w:rPr>
        <w:t xml:space="preserve"> на основе тебуконазола (Виал Траст, ВСК; Тебу 60,</w:t>
      </w:r>
      <w:r w:rsidR="005D2C46" w:rsidRPr="00EF4700">
        <w:rPr>
          <w:rFonts w:ascii="Times New Roman" w:hAnsi="Times New Roman" w:cs="Times New Roman"/>
          <w:sz w:val="24"/>
          <w:szCs w:val="24"/>
        </w:rPr>
        <w:t xml:space="preserve"> МЭ;</w:t>
      </w:r>
      <w:r w:rsidR="00BB15BC" w:rsidRPr="00EF4700">
        <w:rPr>
          <w:rFonts w:ascii="Times New Roman" w:hAnsi="Times New Roman" w:cs="Times New Roman"/>
          <w:sz w:val="24"/>
          <w:szCs w:val="24"/>
        </w:rPr>
        <w:t xml:space="preserve"> Скарлет,</w:t>
      </w:r>
      <w:r w:rsidR="005D2C46" w:rsidRPr="00EF4700">
        <w:rPr>
          <w:rFonts w:ascii="Times New Roman" w:hAnsi="Times New Roman" w:cs="Times New Roman"/>
          <w:sz w:val="24"/>
          <w:szCs w:val="24"/>
        </w:rPr>
        <w:t xml:space="preserve"> МЭ;</w:t>
      </w:r>
      <w:r w:rsidR="00BB15BC" w:rsidRPr="00EF4700">
        <w:rPr>
          <w:rFonts w:ascii="Times New Roman" w:hAnsi="Times New Roman" w:cs="Times New Roman"/>
          <w:sz w:val="24"/>
          <w:szCs w:val="24"/>
        </w:rPr>
        <w:t xml:space="preserve"> Бункер,</w:t>
      </w:r>
      <w:r w:rsidR="00BE6F1D">
        <w:rPr>
          <w:rFonts w:ascii="Times New Roman" w:hAnsi="Times New Roman" w:cs="Times New Roman"/>
          <w:sz w:val="24"/>
          <w:szCs w:val="24"/>
        </w:rPr>
        <w:t xml:space="preserve"> </w:t>
      </w:r>
      <w:r w:rsidR="005D2C46" w:rsidRPr="00EF4700">
        <w:rPr>
          <w:rFonts w:ascii="Times New Roman" w:hAnsi="Times New Roman" w:cs="Times New Roman"/>
          <w:sz w:val="24"/>
          <w:szCs w:val="24"/>
        </w:rPr>
        <w:t>ВСК;</w:t>
      </w:r>
      <w:r w:rsidR="00BB15BC" w:rsidRPr="00EF4700">
        <w:rPr>
          <w:rFonts w:ascii="Times New Roman" w:hAnsi="Times New Roman" w:cs="Times New Roman"/>
          <w:sz w:val="24"/>
          <w:szCs w:val="24"/>
        </w:rPr>
        <w:t xml:space="preserve"> Оплот</w:t>
      </w:r>
      <w:r w:rsidR="005D2C46" w:rsidRPr="00EF4700">
        <w:rPr>
          <w:rFonts w:ascii="Times New Roman" w:hAnsi="Times New Roman" w:cs="Times New Roman"/>
          <w:sz w:val="24"/>
          <w:szCs w:val="24"/>
        </w:rPr>
        <w:t>, ВСК</w:t>
      </w:r>
      <w:r w:rsidR="007A19B4">
        <w:rPr>
          <w:rFonts w:ascii="Times New Roman" w:hAnsi="Times New Roman" w:cs="Times New Roman"/>
          <w:sz w:val="24"/>
          <w:szCs w:val="24"/>
        </w:rPr>
        <w:t>),</w:t>
      </w:r>
      <w:r w:rsidR="00BB15BC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7A19B4">
        <w:rPr>
          <w:rFonts w:ascii="Times New Roman" w:hAnsi="Times New Roman" w:cs="Times New Roman"/>
          <w:sz w:val="24"/>
          <w:szCs w:val="24"/>
        </w:rPr>
        <w:t xml:space="preserve">в 2009-2015 гг. </w:t>
      </w:r>
      <w:r w:rsidR="00C71F0F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BB15BC" w:rsidRPr="00EF4700">
        <w:rPr>
          <w:rFonts w:ascii="Times New Roman" w:hAnsi="Times New Roman" w:cs="Times New Roman"/>
          <w:sz w:val="24"/>
          <w:szCs w:val="24"/>
        </w:rPr>
        <w:t>приобретались протравители  для зернобобовых культур на осно</w:t>
      </w:r>
      <w:r w:rsidR="005D2C46" w:rsidRPr="00EF4700">
        <w:rPr>
          <w:rFonts w:ascii="Times New Roman" w:hAnsi="Times New Roman" w:cs="Times New Roman"/>
          <w:sz w:val="24"/>
          <w:szCs w:val="24"/>
        </w:rPr>
        <w:t>в</w:t>
      </w:r>
      <w:r w:rsidR="00BB15BC" w:rsidRPr="00EF4700">
        <w:rPr>
          <w:rFonts w:ascii="Times New Roman" w:hAnsi="Times New Roman" w:cs="Times New Roman"/>
          <w:sz w:val="24"/>
          <w:szCs w:val="24"/>
        </w:rPr>
        <w:t>е тирама (ТМТД</w:t>
      </w:r>
      <w:r w:rsidR="005D2C46" w:rsidRPr="00EF4700">
        <w:rPr>
          <w:rFonts w:ascii="Times New Roman" w:hAnsi="Times New Roman" w:cs="Times New Roman"/>
          <w:sz w:val="24"/>
          <w:szCs w:val="24"/>
        </w:rPr>
        <w:t>, ВСК</w:t>
      </w:r>
      <w:r w:rsidR="00BB15BC" w:rsidRPr="00EF4700">
        <w:rPr>
          <w:rFonts w:ascii="Times New Roman" w:hAnsi="Times New Roman" w:cs="Times New Roman"/>
          <w:sz w:val="24"/>
          <w:szCs w:val="24"/>
        </w:rPr>
        <w:t>), а в</w:t>
      </w:r>
      <w:r w:rsidR="00E708C5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5D6CD1" w:rsidRPr="00EF4700">
        <w:rPr>
          <w:rFonts w:ascii="Times New Roman" w:hAnsi="Times New Roman" w:cs="Times New Roman"/>
          <w:sz w:val="24"/>
          <w:szCs w:val="24"/>
        </w:rPr>
        <w:t xml:space="preserve">последние пять лет </w:t>
      </w:r>
      <w:r w:rsidR="00786FEF">
        <w:rPr>
          <w:rFonts w:ascii="Times New Roman" w:hAnsi="Times New Roman" w:cs="Times New Roman"/>
          <w:sz w:val="24"/>
          <w:szCs w:val="24"/>
        </w:rPr>
        <w:t>- для протравливания семян рапса</w:t>
      </w:r>
      <w:r w:rsidR="007F6D0C">
        <w:rPr>
          <w:rFonts w:ascii="Times New Roman" w:hAnsi="Times New Roman" w:cs="Times New Roman"/>
          <w:sz w:val="24"/>
          <w:szCs w:val="24"/>
        </w:rPr>
        <w:t xml:space="preserve"> </w:t>
      </w:r>
      <w:r w:rsidR="005D6CD1" w:rsidRPr="00EF4700">
        <w:rPr>
          <w:rFonts w:ascii="Times New Roman" w:hAnsi="Times New Roman" w:cs="Times New Roman"/>
          <w:sz w:val="24"/>
          <w:szCs w:val="24"/>
        </w:rPr>
        <w:t>протравитель инсектицидного действия</w:t>
      </w:r>
      <w:r w:rsidR="007A19B4" w:rsidRPr="007A19B4">
        <w:rPr>
          <w:rFonts w:ascii="Times New Roman" w:hAnsi="Times New Roman" w:cs="Times New Roman"/>
          <w:sz w:val="24"/>
          <w:szCs w:val="24"/>
        </w:rPr>
        <w:t xml:space="preserve"> </w:t>
      </w:r>
      <w:r w:rsidR="007A19B4" w:rsidRPr="00EF4700">
        <w:rPr>
          <w:rFonts w:ascii="Times New Roman" w:hAnsi="Times New Roman" w:cs="Times New Roman"/>
          <w:sz w:val="24"/>
          <w:szCs w:val="24"/>
        </w:rPr>
        <w:t>Табу, ВСК (имидаклоприд)</w:t>
      </w:r>
      <w:r w:rsidR="004A0FFE">
        <w:rPr>
          <w:rFonts w:ascii="Times New Roman" w:hAnsi="Times New Roman" w:cs="Times New Roman"/>
          <w:sz w:val="24"/>
          <w:szCs w:val="24"/>
        </w:rPr>
        <w:t>.</w:t>
      </w:r>
      <w:r w:rsidR="004A0FFE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4A0FFE">
        <w:rPr>
          <w:rFonts w:ascii="Times New Roman" w:hAnsi="Times New Roman" w:cs="Times New Roman"/>
          <w:sz w:val="24"/>
          <w:szCs w:val="24"/>
        </w:rPr>
        <w:t xml:space="preserve">Все поступавшие в край препараты проходили контроль в </w:t>
      </w:r>
      <w:r w:rsidR="008343AD">
        <w:rPr>
          <w:rFonts w:ascii="Times New Roman" w:hAnsi="Times New Roman" w:cs="Times New Roman"/>
          <w:sz w:val="24"/>
          <w:szCs w:val="24"/>
        </w:rPr>
        <w:t>ИЛ</w:t>
      </w:r>
      <w:r w:rsidR="004A0FFE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4A0FFE">
        <w:rPr>
          <w:rFonts w:ascii="Times New Roman" w:hAnsi="Times New Roman" w:cs="Times New Roman"/>
          <w:sz w:val="24"/>
          <w:szCs w:val="24"/>
        </w:rPr>
        <w:t xml:space="preserve">филиала. </w:t>
      </w:r>
      <w:r w:rsidR="00786FEF">
        <w:rPr>
          <w:rFonts w:ascii="Times New Roman" w:hAnsi="Times New Roman" w:cs="Times New Roman"/>
          <w:sz w:val="24"/>
          <w:szCs w:val="24"/>
        </w:rPr>
        <w:t xml:space="preserve">Для получения </w:t>
      </w:r>
      <w:r w:rsidR="00786FEF" w:rsidRPr="00EF4700">
        <w:rPr>
          <w:rFonts w:ascii="Times New Roman" w:hAnsi="Times New Roman" w:cs="Times New Roman"/>
          <w:sz w:val="24"/>
          <w:szCs w:val="24"/>
        </w:rPr>
        <w:t>передовы</w:t>
      </w:r>
      <w:r w:rsidR="00786FEF">
        <w:rPr>
          <w:rFonts w:ascii="Times New Roman" w:hAnsi="Times New Roman" w:cs="Times New Roman"/>
          <w:sz w:val="24"/>
          <w:szCs w:val="24"/>
        </w:rPr>
        <w:t>х</w:t>
      </w:r>
      <w:r w:rsidR="00786FEF" w:rsidRPr="00EF4700">
        <w:rPr>
          <w:rFonts w:ascii="Times New Roman" w:hAnsi="Times New Roman" w:cs="Times New Roman"/>
          <w:sz w:val="24"/>
          <w:szCs w:val="24"/>
        </w:rPr>
        <w:t xml:space="preserve"> и актуальны</w:t>
      </w:r>
      <w:r w:rsidR="00786FEF">
        <w:rPr>
          <w:rFonts w:ascii="Times New Roman" w:hAnsi="Times New Roman" w:cs="Times New Roman"/>
          <w:sz w:val="24"/>
          <w:szCs w:val="24"/>
        </w:rPr>
        <w:t>х</w:t>
      </w:r>
      <w:r w:rsidR="00786FEF" w:rsidRPr="00EF4700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786FEF">
        <w:rPr>
          <w:rFonts w:ascii="Times New Roman" w:hAnsi="Times New Roman" w:cs="Times New Roman"/>
          <w:sz w:val="24"/>
          <w:szCs w:val="24"/>
        </w:rPr>
        <w:t>ов</w:t>
      </w:r>
      <w:r w:rsidR="00786FEF" w:rsidRPr="00EF4700">
        <w:rPr>
          <w:rFonts w:ascii="Times New Roman" w:hAnsi="Times New Roman" w:cs="Times New Roman"/>
          <w:sz w:val="24"/>
          <w:szCs w:val="24"/>
        </w:rPr>
        <w:t xml:space="preserve"> исследований</w:t>
      </w:r>
      <w:r w:rsidR="00786FEF">
        <w:rPr>
          <w:rFonts w:ascii="Times New Roman" w:hAnsi="Times New Roman" w:cs="Times New Roman"/>
          <w:sz w:val="24"/>
          <w:szCs w:val="24"/>
        </w:rPr>
        <w:t xml:space="preserve"> специалисты лаборатории</w:t>
      </w:r>
      <w:r w:rsidR="00786FEF" w:rsidRPr="00EF4700">
        <w:rPr>
          <w:rFonts w:ascii="Times New Roman" w:hAnsi="Times New Roman" w:cs="Times New Roman"/>
          <w:sz w:val="24"/>
          <w:szCs w:val="24"/>
        </w:rPr>
        <w:t xml:space="preserve"> взаимодейств</w:t>
      </w:r>
      <w:r w:rsidR="00786FEF">
        <w:rPr>
          <w:rFonts w:ascii="Times New Roman" w:hAnsi="Times New Roman" w:cs="Times New Roman"/>
          <w:sz w:val="24"/>
          <w:szCs w:val="24"/>
        </w:rPr>
        <w:t>овали</w:t>
      </w:r>
      <w:r w:rsidR="00786FEF" w:rsidRPr="00EF4700">
        <w:rPr>
          <w:rFonts w:ascii="Times New Roman" w:hAnsi="Times New Roman" w:cs="Times New Roman"/>
          <w:sz w:val="24"/>
          <w:szCs w:val="24"/>
        </w:rPr>
        <w:t xml:space="preserve"> с компаниями по производству</w:t>
      </w:r>
      <w:r w:rsidR="00786FEF">
        <w:rPr>
          <w:rFonts w:ascii="Times New Roman" w:hAnsi="Times New Roman" w:cs="Times New Roman"/>
          <w:sz w:val="24"/>
          <w:szCs w:val="24"/>
        </w:rPr>
        <w:t xml:space="preserve"> поступающих</w:t>
      </w:r>
      <w:r w:rsidR="00786FEF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786FEF">
        <w:rPr>
          <w:rFonts w:ascii="Times New Roman" w:hAnsi="Times New Roman" w:cs="Times New Roman"/>
          <w:sz w:val="24"/>
          <w:szCs w:val="24"/>
        </w:rPr>
        <w:t xml:space="preserve">в край </w:t>
      </w:r>
      <w:r w:rsidR="00786FEF" w:rsidRPr="00EF4700">
        <w:rPr>
          <w:rFonts w:ascii="Times New Roman" w:hAnsi="Times New Roman" w:cs="Times New Roman"/>
          <w:sz w:val="24"/>
          <w:szCs w:val="24"/>
        </w:rPr>
        <w:t>химических средств защиты растений (ЗАО Фир</w:t>
      </w:r>
      <w:r w:rsidR="00786FEF">
        <w:rPr>
          <w:rFonts w:ascii="Times New Roman" w:hAnsi="Times New Roman" w:cs="Times New Roman"/>
          <w:sz w:val="24"/>
          <w:szCs w:val="24"/>
        </w:rPr>
        <w:t xml:space="preserve">ма АВГУСТ и АО Щелково Агрохим). </w:t>
      </w:r>
      <w:r w:rsidR="00C71F0F">
        <w:rPr>
          <w:rFonts w:ascii="Times New Roman" w:hAnsi="Times New Roman" w:cs="Times New Roman"/>
          <w:sz w:val="24"/>
          <w:szCs w:val="24"/>
        </w:rPr>
        <w:t>В среднем е</w:t>
      </w:r>
      <w:r w:rsidR="004A0FFE" w:rsidRPr="00EF4700">
        <w:rPr>
          <w:rFonts w:ascii="Times New Roman" w:hAnsi="Times New Roman" w:cs="Times New Roman"/>
          <w:sz w:val="24"/>
          <w:szCs w:val="24"/>
        </w:rPr>
        <w:t xml:space="preserve">жегодно </w:t>
      </w:r>
      <w:r w:rsidR="004A0FFE">
        <w:rPr>
          <w:rFonts w:ascii="Times New Roman" w:hAnsi="Times New Roman" w:cs="Times New Roman"/>
          <w:sz w:val="24"/>
          <w:szCs w:val="24"/>
        </w:rPr>
        <w:t>анализировалось 30% протра</w:t>
      </w:r>
      <w:r w:rsidR="00C71F0F">
        <w:rPr>
          <w:rFonts w:ascii="Times New Roman" w:hAnsi="Times New Roman" w:cs="Times New Roman"/>
          <w:sz w:val="24"/>
          <w:szCs w:val="24"/>
        </w:rPr>
        <w:t xml:space="preserve">вителей семян зерновых культур, </w:t>
      </w:r>
      <w:r w:rsidR="004A0FFE">
        <w:rPr>
          <w:rFonts w:ascii="Times New Roman" w:hAnsi="Times New Roman" w:cs="Times New Roman"/>
          <w:sz w:val="24"/>
          <w:szCs w:val="24"/>
        </w:rPr>
        <w:t>а в 2017 году – 60% и около 50% протравителей семян зернобобовых культур и рапса</w:t>
      </w:r>
      <w:r w:rsidR="004A0FFE" w:rsidRPr="00EF4700">
        <w:rPr>
          <w:rFonts w:ascii="Times New Roman" w:hAnsi="Times New Roman" w:cs="Times New Roman"/>
          <w:sz w:val="24"/>
          <w:szCs w:val="24"/>
        </w:rPr>
        <w:t xml:space="preserve"> </w:t>
      </w:r>
      <w:r w:rsidR="004A0FFE" w:rsidRPr="00C71F0F">
        <w:rPr>
          <w:rFonts w:ascii="Times New Roman" w:hAnsi="Times New Roman" w:cs="Times New Roman"/>
          <w:sz w:val="24"/>
          <w:szCs w:val="24"/>
        </w:rPr>
        <w:t>(Рис.1)</w:t>
      </w:r>
      <w:r w:rsidR="00C71F0F">
        <w:rPr>
          <w:rFonts w:ascii="Times New Roman" w:hAnsi="Times New Roman" w:cs="Times New Roman"/>
          <w:sz w:val="24"/>
          <w:szCs w:val="24"/>
        </w:rPr>
        <w:t>.</w:t>
      </w:r>
      <w:r w:rsidR="008343A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D70934" w:rsidRDefault="00D70934" w:rsidP="00D70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5579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борьбы с сорняками ежегодно приобретаются и передаются сельхозтоваропроизводителям края гербициды для обработки посевов зерновых культур. За период действия программы </w:t>
      </w:r>
      <w:r w:rsidRPr="00EF4700">
        <w:rPr>
          <w:rFonts w:ascii="Times New Roman" w:hAnsi="Times New Roman" w:cs="Times New Roman"/>
          <w:sz w:val="24"/>
          <w:szCs w:val="24"/>
        </w:rPr>
        <w:t xml:space="preserve">от широколистных сорняков закупались гербициды на основе </w:t>
      </w:r>
      <w:proofErr w:type="spellStart"/>
      <w:r w:rsidRPr="00EF4700">
        <w:rPr>
          <w:rFonts w:ascii="Times New Roman" w:hAnsi="Times New Roman" w:cs="Times New Roman"/>
          <w:sz w:val="24"/>
          <w:szCs w:val="24"/>
        </w:rPr>
        <w:t>метсульфурон-метила</w:t>
      </w:r>
      <w:proofErr w:type="spellEnd"/>
      <w:r w:rsidRPr="00EF47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4700">
        <w:rPr>
          <w:rFonts w:ascii="Times New Roman" w:hAnsi="Times New Roman" w:cs="Times New Roman"/>
          <w:sz w:val="24"/>
          <w:szCs w:val="24"/>
        </w:rPr>
        <w:t>Магнум</w:t>
      </w:r>
      <w:proofErr w:type="spellEnd"/>
      <w:r w:rsidRPr="00EF4700">
        <w:rPr>
          <w:rFonts w:ascii="Times New Roman" w:hAnsi="Times New Roman" w:cs="Times New Roman"/>
          <w:sz w:val="24"/>
          <w:szCs w:val="24"/>
        </w:rPr>
        <w:t xml:space="preserve">, ВДГ; Зингер, СП; </w:t>
      </w:r>
      <w:proofErr w:type="spellStart"/>
      <w:r w:rsidRPr="00EF4700">
        <w:rPr>
          <w:rFonts w:ascii="Times New Roman" w:hAnsi="Times New Roman" w:cs="Times New Roman"/>
          <w:sz w:val="24"/>
          <w:szCs w:val="24"/>
        </w:rPr>
        <w:t>Магнум</w:t>
      </w:r>
      <w:proofErr w:type="spellEnd"/>
      <w:r w:rsidRPr="00EF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0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EF4700">
        <w:rPr>
          <w:rFonts w:ascii="Times New Roman" w:hAnsi="Times New Roman" w:cs="Times New Roman"/>
          <w:sz w:val="24"/>
          <w:szCs w:val="24"/>
        </w:rPr>
        <w:t xml:space="preserve">, ВДГ), </w:t>
      </w:r>
      <w:r>
        <w:rPr>
          <w:rFonts w:ascii="Times New Roman" w:hAnsi="Times New Roman" w:cs="Times New Roman"/>
          <w:sz w:val="24"/>
          <w:szCs w:val="24"/>
        </w:rPr>
        <w:t xml:space="preserve">а для </w:t>
      </w:r>
      <w:r w:rsidRPr="00EF4700">
        <w:rPr>
          <w:rFonts w:ascii="Times New Roman" w:hAnsi="Times New Roman" w:cs="Times New Roman"/>
          <w:sz w:val="24"/>
          <w:szCs w:val="24"/>
        </w:rPr>
        <w:t>семеноводчески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EF4700">
        <w:rPr>
          <w:rFonts w:ascii="Times New Roman" w:hAnsi="Times New Roman" w:cs="Times New Roman"/>
          <w:sz w:val="24"/>
          <w:szCs w:val="24"/>
        </w:rPr>
        <w:t xml:space="preserve"> хозяйств</w:t>
      </w:r>
      <w:r>
        <w:rPr>
          <w:rFonts w:ascii="Times New Roman" w:hAnsi="Times New Roman" w:cs="Times New Roman"/>
          <w:sz w:val="24"/>
          <w:szCs w:val="24"/>
        </w:rPr>
        <w:t xml:space="preserve"> дополнительно </w:t>
      </w:r>
      <w:r w:rsidRPr="00EF4700">
        <w:rPr>
          <w:rFonts w:ascii="Times New Roman" w:hAnsi="Times New Roman" w:cs="Times New Roman"/>
          <w:sz w:val="24"/>
          <w:szCs w:val="24"/>
        </w:rPr>
        <w:t>препараты против злаковых сорняков на ос</w:t>
      </w:r>
      <w:r>
        <w:rPr>
          <w:rFonts w:ascii="Times New Roman" w:hAnsi="Times New Roman" w:cs="Times New Roman"/>
          <w:sz w:val="24"/>
          <w:szCs w:val="24"/>
        </w:rPr>
        <w:t xml:space="preserve">нове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феноксапроп-П-этила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(Пума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EF4700">
        <w:rPr>
          <w:rFonts w:ascii="Times New Roman" w:hAnsi="Times New Roman" w:cs="Times New Roman"/>
          <w:sz w:val="24"/>
          <w:szCs w:val="24"/>
        </w:rPr>
        <w:t>упер</w:t>
      </w:r>
      <w:proofErr w:type="spellEnd"/>
      <w:r w:rsidRPr="00EF4700">
        <w:rPr>
          <w:rFonts w:ascii="Times New Roman" w:hAnsi="Times New Roman" w:cs="Times New Roman"/>
          <w:sz w:val="24"/>
          <w:szCs w:val="24"/>
        </w:rPr>
        <w:t xml:space="preserve"> 100, КЭ; </w:t>
      </w:r>
      <w:r>
        <w:rPr>
          <w:rFonts w:ascii="Times New Roman" w:hAnsi="Times New Roman" w:cs="Times New Roman"/>
          <w:sz w:val="24"/>
          <w:szCs w:val="24"/>
        </w:rPr>
        <w:t xml:space="preserve">Пума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7,</w:t>
      </w:r>
      <w:r w:rsidRPr="00EF4700">
        <w:rPr>
          <w:rFonts w:ascii="Times New Roman" w:hAnsi="Times New Roman" w:cs="Times New Roman"/>
          <w:sz w:val="24"/>
          <w:szCs w:val="24"/>
        </w:rPr>
        <w:t xml:space="preserve">5, ЭМВ; Ластик ТОП, МКВ; Ластик Экстра, КЭ). </w:t>
      </w:r>
      <w:r>
        <w:rPr>
          <w:rFonts w:ascii="Times New Roman" w:hAnsi="Times New Roman" w:cs="Times New Roman"/>
          <w:sz w:val="24"/>
          <w:szCs w:val="24"/>
        </w:rPr>
        <w:t xml:space="preserve">В ИЛ ежегодно на содержание ДВ в среднем анализируется более </w:t>
      </w:r>
      <w:r w:rsidRPr="00EF470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EF4700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препаратов </w:t>
      </w:r>
      <w:r w:rsidRPr="00EF4700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основе</w:t>
      </w:r>
      <w:r w:rsidRPr="00EF47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4700">
        <w:rPr>
          <w:rFonts w:ascii="Times New Roman" w:hAnsi="Times New Roman" w:cs="Times New Roman"/>
          <w:sz w:val="24"/>
          <w:szCs w:val="24"/>
        </w:rPr>
        <w:t>метсульфурон-метила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около 30</w:t>
      </w:r>
      <w:r w:rsidRPr="00EF4700">
        <w:rPr>
          <w:rFonts w:ascii="Times New Roman" w:hAnsi="Times New Roman" w:cs="Times New Roman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препаратов на основе </w:t>
      </w:r>
      <w:proofErr w:type="spellStart"/>
      <w:r w:rsidRPr="00EF4700">
        <w:rPr>
          <w:rFonts w:ascii="Times New Roman" w:hAnsi="Times New Roman" w:cs="Times New Roman"/>
          <w:sz w:val="24"/>
          <w:szCs w:val="24"/>
        </w:rPr>
        <w:t>феноксапроп-П-этила</w:t>
      </w:r>
      <w:proofErr w:type="spellEnd"/>
      <w:r w:rsidRPr="00EF470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закупаемого объема (Рис. 2)</w:t>
      </w:r>
      <w:r w:rsidRPr="00EF47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61B8" w:rsidRPr="00E44B71" w:rsidRDefault="00786FEF" w:rsidP="00E44B7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86FEF">
        <w:rPr>
          <w:rFonts w:ascii="Times New Roman" w:hAnsi="Times New Roman" w:cs="Times New Roman"/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5946140" cy="3181350"/>
            <wp:effectExtent l="19050" t="0" r="1651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851FA" w:rsidRPr="00D70934" w:rsidRDefault="00416CD1" w:rsidP="00B73D8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0934">
        <w:rPr>
          <w:rFonts w:ascii="Times New Roman" w:hAnsi="Times New Roman" w:cs="Times New Roman"/>
          <w:b/>
          <w:sz w:val="20"/>
          <w:szCs w:val="20"/>
        </w:rPr>
        <w:t xml:space="preserve">Рис 1. Объем </w:t>
      </w:r>
      <w:r w:rsidR="00E1491B" w:rsidRPr="00D70934">
        <w:rPr>
          <w:rFonts w:ascii="Times New Roman" w:hAnsi="Times New Roman" w:cs="Times New Roman"/>
          <w:b/>
          <w:sz w:val="20"/>
          <w:szCs w:val="20"/>
        </w:rPr>
        <w:t xml:space="preserve">протравителей семян зерновых и зернобобовых культур, </w:t>
      </w:r>
      <w:r w:rsidR="009A4BC5" w:rsidRPr="00D70934">
        <w:rPr>
          <w:rFonts w:ascii="Times New Roman" w:hAnsi="Times New Roman" w:cs="Times New Roman"/>
          <w:b/>
          <w:sz w:val="20"/>
          <w:szCs w:val="20"/>
        </w:rPr>
        <w:t>поступивших</w:t>
      </w:r>
      <w:r w:rsidR="008F5294" w:rsidRPr="00D709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3D82" w:rsidRPr="00D70934">
        <w:rPr>
          <w:rFonts w:ascii="Times New Roman" w:hAnsi="Times New Roman" w:cs="Times New Roman"/>
          <w:b/>
          <w:sz w:val="20"/>
          <w:szCs w:val="20"/>
        </w:rPr>
        <w:t>в край</w:t>
      </w:r>
      <w:r w:rsidR="00CB3434" w:rsidRPr="00D709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31CD4" w:rsidRPr="00D70934">
        <w:rPr>
          <w:rFonts w:ascii="Times New Roman" w:hAnsi="Times New Roman" w:cs="Times New Roman"/>
          <w:b/>
          <w:sz w:val="20"/>
          <w:szCs w:val="20"/>
        </w:rPr>
        <w:t xml:space="preserve">и </w:t>
      </w:r>
      <w:r w:rsidRPr="00D70934">
        <w:rPr>
          <w:rFonts w:ascii="Times New Roman" w:hAnsi="Times New Roman" w:cs="Times New Roman"/>
          <w:b/>
          <w:sz w:val="20"/>
          <w:szCs w:val="20"/>
        </w:rPr>
        <w:t xml:space="preserve">проверенных </w:t>
      </w:r>
      <w:r w:rsidR="009A4BC5" w:rsidRPr="00D70934">
        <w:rPr>
          <w:rFonts w:ascii="Times New Roman" w:hAnsi="Times New Roman" w:cs="Times New Roman"/>
          <w:b/>
          <w:sz w:val="20"/>
          <w:szCs w:val="20"/>
        </w:rPr>
        <w:t xml:space="preserve">в ИЛ </w:t>
      </w:r>
      <w:r w:rsidR="008343AD" w:rsidRPr="00D70934">
        <w:rPr>
          <w:rFonts w:ascii="Times New Roman" w:hAnsi="Times New Roman" w:cs="Times New Roman"/>
          <w:b/>
          <w:sz w:val="20"/>
          <w:szCs w:val="20"/>
        </w:rPr>
        <w:t xml:space="preserve">филиала </w:t>
      </w:r>
      <w:r w:rsidR="009A4BC5" w:rsidRPr="00D70934">
        <w:rPr>
          <w:rFonts w:ascii="Times New Roman" w:hAnsi="Times New Roman" w:cs="Times New Roman"/>
          <w:b/>
          <w:sz w:val="20"/>
          <w:szCs w:val="20"/>
        </w:rPr>
        <w:t>в</w:t>
      </w:r>
      <w:r w:rsidRPr="00D70934">
        <w:rPr>
          <w:rFonts w:ascii="Times New Roman" w:hAnsi="Times New Roman" w:cs="Times New Roman"/>
          <w:b/>
          <w:sz w:val="20"/>
          <w:szCs w:val="20"/>
        </w:rPr>
        <w:t xml:space="preserve"> 2009-2017 г</w:t>
      </w:r>
      <w:r w:rsidR="009A4BC5" w:rsidRPr="00D70934">
        <w:rPr>
          <w:rFonts w:ascii="Times New Roman" w:hAnsi="Times New Roman" w:cs="Times New Roman"/>
          <w:b/>
          <w:sz w:val="20"/>
          <w:szCs w:val="20"/>
        </w:rPr>
        <w:t>г</w:t>
      </w:r>
      <w:r w:rsidRPr="00D70934">
        <w:rPr>
          <w:rFonts w:ascii="Times New Roman" w:hAnsi="Times New Roman" w:cs="Times New Roman"/>
          <w:b/>
          <w:sz w:val="20"/>
          <w:szCs w:val="20"/>
        </w:rPr>
        <w:t>.</w:t>
      </w:r>
    </w:p>
    <w:p w:rsidR="00285579" w:rsidRPr="00D70934" w:rsidRDefault="002851FA" w:rsidP="00285579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D70934">
        <w:rPr>
          <w:rFonts w:ascii="Times New Roman" w:hAnsi="Times New Roman" w:cs="Times New Roman"/>
          <w:szCs w:val="28"/>
        </w:rPr>
        <w:tab/>
      </w:r>
    </w:p>
    <w:p w:rsidR="002E6736" w:rsidRDefault="000E44A9" w:rsidP="00E4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Так же по программе закупались </w:t>
      </w:r>
      <w:r w:rsidR="001E1691">
        <w:rPr>
          <w:rFonts w:ascii="Times New Roman" w:hAnsi="Times New Roman" w:cs="Times New Roman"/>
          <w:sz w:val="24"/>
          <w:szCs w:val="24"/>
        </w:rPr>
        <w:t xml:space="preserve">следующие гербициды: </w:t>
      </w:r>
      <w:r>
        <w:rPr>
          <w:rFonts w:ascii="Times New Roman" w:hAnsi="Times New Roman" w:cs="Times New Roman"/>
          <w:sz w:val="24"/>
          <w:szCs w:val="24"/>
        </w:rPr>
        <w:t xml:space="preserve">в 2012-2013 гг. </w:t>
      </w:r>
      <w:r w:rsidR="001E1691">
        <w:rPr>
          <w:rFonts w:ascii="Times New Roman" w:hAnsi="Times New Roman" w:cs="Times New Roman"/>
          <w:sz w:val="24"/>
          <w:szCs w:val="24"/>
        </w:rPr>
        <w:t xml:space="preserve">для обработки посевов гороха </w:t>
      </w:r>
      <w:r w:rsidR="001E1691" w:rsidRPr="00EF4700">
        <w:rPr>
          <w:rFonts w:ascii="Times New Roman" w:hAnsi="Times New Roman" w:cs="Times New Roman"/>
          <w:sz w:val="24"/>
          <w:szCs w:val="24"/>
        </w:rPr>
        <w:t>Гербитокс, ВРК</w:t>
      </w:r>
      <w:r w:rsidR="001E1691">
        <w:rPr>
          <w:rFonts w:ascii="Times New Roman" w:hAnsi="Times New Roman" w:cs="Times New Roman"/>
          <w:sz w:val="24"/>
          <w:szCs w:val="24"/>
        </w:rPr>
        <w:t>,</w:t>
      </w:r>
      <w:r w:rsidR="00F239C4">
        <w:rPr>
          <w:rFonts w:ascii="Times New Roman" w:hAnsi="Times New Roman" w:cs="Times New Roman"/>
          <w:sz w:val="24"/>
          <w:szCs w:val="24"/>
        </w:rPr>
        <w:t xml:space="preserve"> (МЦПА к-ты)</w:t>
      </w:r>
      <w:r w:rsidR="00B73D82">
        <w:rPr>
          <w:rFonts w:ascii="Times New Roman" w:hAnsi="Times New Roman" w:cs="Times New Roman"/>
          <w:sz w:val="24"/>
          <w:szCs w:val="24"/>
        </w:rPr>
        <w:t>,</w:t>
      </w:r>
      <w:r w:rsidR="001E1691">
        <w:rPr>
          <w:rFonts w:ascii="Times New Roman" w:hAnsi="Times New Roman" w:cs="Times New Roman"/>
          <w:sz w:val="24"/>
          <w:szCs w:val="24"/>
        </w:rPr>
        <w:t xml:space="preserve"> в 2013-2015 гг. для обработки посевов рапса </w:t>
      </w:r>
      <w:r w:rsidR="001E1691" w:rsidRPr="00EF4700">
        <w:rPr>
          <w:rFonts w:ascii="Times New Roman" w:hAnsi="Times New Roman" w:cs="Times New Roman"/>
          <w:sz w:val="24"/>
          <w:szCs w:val="24"/>
        </w:rPr>
        <w:t>Галион, ВР</w:t>
      </w:r>
      <w:r w:rsidR="001E1691">
        <w:rPr>
          <w:rFonts w:ascii="Times New Roman" w:hAnsi="Times New Roman" w:cs="Times New Roman"/>
          <w:sz w:val="24"/>
          <w:szCs w:val="24"/>
        </w:rPr>
        <w:t>,</w:t>
      </w:r>
      <w:r w:rsidR="00B73D82">
        <w:rPr>
          <w:rFonts w:ascii="Times New Roman" w:hAnsi="Times New Roman" w:cs="Times New Roman"/>
          <w:sz w:val="24"/>
          <w:szCs w:val="24"/>
        </w:rPr>
        <w:t xml:space="preserve"> (к</w:t>
      </w:r>
      <w:r w:rsidR="00F239C4">
        <w:rPr>
          <w:rFonts w:ascii="Times New Roman" w:hAnsi="Times New Roman" w:cs="Times New Roman"/>
          <w:sz w:val="24"/>
          <w:szCs w:val="24"/>
        </w:rPr>
        <w:t>лопиралид)</w:t>
      </w:r>
      <w:r w:rsidR="00B73D82">
        <w:rPr>
          <w:rFonts w:ascii="Times New Roman" w:hAnsi="Times New Roman" w:cs="Times New Roman"/>
          <w:sz w:val="24"/>
          <w:szCs w:val="24"/>
        </w:rPr>
        <w:t>,</w:t>
      </w:r>
      <w:r w:rsidR="001E1691">
        <w:rPr>
          <w:rFonts w:ascii="Times New Roman" w:hAnsi="Times New Roman" w:cs="Times New Roman"/>
          <w:sz w:val="24"/>
          <w:szCs w:val="24"/>
        </w:rPr>
        <w:t xml:space="preserve"> а последние 3 года для обработки посевов кукурузы </w:t>
      </w:r>
      <w:r w:rsidR="001E1691" w:rsidRPr="00EF4700">
        <w:rPr>
          <w:rFonts w:ascii="Times New Roman" w:hAnsi="Times New Roman" w:cs="Times New Roman"/>
          <w:sz w:val="24"/>
          <w:szCs w:val="24"/>
        </w:rPr>
        <w:t>Дублон Голд, ВДГ</w:t>
      </w:r>
      <w:r w:rsidR="00B73D82">
        <w:rPr>
          <w:rFonts w:ascii="Times New Roman" w:hAnsi="Times New Roman" w:cs="Times New Roman"/>
          <w:sz w:val="24"/>
          <w:szCs w:val="24"/>
        </w:rPr>
        <w:t>, (н</w:t>
      </w:r>
      <w:r w:rsidR="00F239C4">
        <w:rPr>
          <w:rFonts w:ascii="Times New Roman" w:hAnsi="Times New Roman" w:cs="Times New Roman"/>
          <w:sz w:val="24"/>
          <w:szCs w:val="24"/>
        </w:rPr>
        <w:t>икосульфурон)</w:t>
      </w:r>
      <w:r w:rsidR="001E1691">
        <w:rPr>
          <w:rFonts w:ascii="Times New Roman" w:hAnsi="Times New Roman" w:cs="Times New Roman"/>
          <w:sz w:val="24"/>
          <w:szCs w:val="24"/>
        </w:rPr>
        <w:t>. Все закупленные препараты прошли испытания в ИЛ. Было проанализировано 1/3 от общего объема.</w:t>
      </w:r>
      <w:r w:rsidR="00323F64" w:rsidRPr="00323F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607E" w:rsidRPr="00E44B71" w:rsidRDefault="008C5161" w:rsidP="00E44B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1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537" cy="3412565"/>
            <wp:effectExtent l="19050" t="0" r="22113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491B" w:rsidRPr="00D70934" w:rsidRDefault="00E1491B" w:rsidP="00E1491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0934">
        <w:rPr>
          <w:rFonts w:ascii="Times New Roman" w:hAnsi="Times New Roman" w:cs="Times New Roman"/>
          <w:b/>
          <w:sz w:val="20"/>
          <w:szCs w:val="20"/>
        </w:rPr>
        <w:t xml:space="preserve">Рис </w:t>
      </w:r>
      <w:r w:rsidR="00323F64" w:rsidRPr="00D70934">
        <w:rPr>
          <w:rFonts w:ascii="Times New Roman" w:hAnsi="Times New Roman" w:cs="Times New Roman"/>
          <w:b/>
          <w:sz w:val="20"/>
          <w:szCs w:val="20"/>
        </w:rPr>
        <w:t>2</w:t>
      </w:r>
      <w:r w:rsidRPr="00D70934">
        <w:rPr>
          <w:rFonts w:ascii="Times New Roman" w:hAnsi="Times New Roman" w:cs="Times New Roman"/>
          <w:b/>
          <w:sz w:val="20"/>
          <w:szCs w:val="20"/>
        </w:rPr>
        <w:t>. Объем гербицидов поступивших в край и проверенных в ИЛ филиала в 2009-2017 гг.</w:t>
      </w:r>
    </w:p>
    <w:p w:rsidR="009C6D5B" w:rsidRDefault="009C6D5B" w:rsidP="00454D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524E" w:rsidRPr="00454DC8" w:rsidRDefault="00F56A61" w:rsidP="00B73D8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весь период совместной работы </w:t>
      </w:r>
      <w:r w:rsidR="00B73D82">
        <w:rPr>
          <w:rFonts w:ascii="Times New Roman" w:hAnsi="Times New Roman" w:cs="Times New Roman"/>
          <w:sz w:val="24"/>
          <w:szCs w:val="24"/>
        </w:rPr>
        <w:t xml:space="preserve">филиала </w:t>
      </w:r>
      <w:r>
        <w:rPr>
          <w:rFonts w:ascii="Times New Roman" w:hAnsi="Times New Roman" w:cs="Times New Roman"/>
          <w:sz w:val="24"/>
          <w:szCs w:val="24"/>
        </w:rPr>
        <w:t xml:space="preserve">с Министерством сельского хозяйства Красноярского края </w:t>
      </w:r>
      <w:r w:rsidR="00B73D82">
        <w:rPr>
          <w:rFonts w:ascii="Times New Roman" w:hAnsi="Times New Roman" w:cs="Times New Roman"/>
          <w:sz w:val="24"/>
          <w:szCs w:val="24"/>
        </w:rPr>
        <w:t xml:space="preserve">все </w:t>
      </w:r>
      <w:r w:rsidR="00B9524E">
        <w:rPr>
          <w:rFonts w:ascii="Times New Roman" w:hAnsi="Times New Roman" w:cs="Times New Roman"/>
          <w:sz w:val="24"/>
          <w:szCs w:val="24"/>
        </w:rPr>
        <w:t>проверенные</w:t>
      </w:r>
      <w:r w:rsidR="00B73D82">
        <w:rPr>
          <w:rFonts w:ascii="Times New Roman" w:hAnsi="Times New Roman" w:cs="Times New Roman"/>
          <w:sz w:val="24"/>
          <w:szCs w:val="24"/>
        </w:rPr>
        <w:t xml:space="preserve"> в ИЛ</w:t>
      </w:r>
      <w:r w:rsidR="00B9524E">
        <w:rPr>
          <w:rFonts w:ascii="Times New Roman" w:hAnsi="Times New Roman" w:cs="Times New Roman"/>
          <w:sz w:val="24"/>
          <w:szCs w:val="24"/>
        </w:rPr>
        <w:t xml:space="preserve"> препараты </w:t>
      </w:r>
      <w:r w:rsidR="00B73D82">
        <w:rPr>
          <w:rFonts w:ascii="Times New Roman" w:hAnsi="Times New Roman" w:cs="Times New Roman"/>
          <w:sz w:val="24"/>
          <w:szCs w:val="24"/>
        </w:rPr>
        <w:t xml:space="preserve">соответствовали </w:t>
      </w:r>
      <w:r w:rsidR="00B21D01">
        <w:rPr>
          <w:rFonts w:ascii="Times New Roman" w:hAnsi="Times New Roman" w:cs="Times New Roman"/>
          <w:sz w:val="24"/>
          <w:szCs w:val="24"/>
        </w:rPr>
        <w:t xml:space="preserve">заявленным в паспортах (сертификатах) показателям качества. </w:t>
      </w:r>
    </w:p>
    <w:sectPr w:rsidR="00B9524E" w:rsidRPr="00454DC8" w:rsidSect="00D70934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4675"/>
    <w:rsid w:val="00002B74"/>
    <w:rsid w:val="00003CE1"/>
    <w:rsid w:val="000379C2"/>
    <w:rsid w:val="00041C22"/>
    <w:rsid w:val="00046308"/>
    <w:rsid w:val="00054336"/>
    <w:rsid w:val="000E44A9"/>
    <w:rsid w:val="000E4BEE"/>
    <w:rsid w:val="000F61B8"/>
    <w:rsid w:val="00104564"/>
    <w:rsid w:val="00104F70"/>
    <w:rsid w:val="001056E7"/>
    <w:rsid w:val="00140BAA"/>
    <w:rsid w:val="00180A20"/>
    <w:rsid w:val="001E1691"/>
    <w:rsid w:val="001F776A"/>
    <w:rsid w:val="0021142F"/>
    <w:rsid w:val="00226503"/>
    <w:rsid w:val="00284F3C"/>
    <w:rsid w:val="002851FA"/>
    <w:rsid w:val="00285579"/>
    <w:rsid w:val="00295911"/>
    <w:rsid w:val="002A65DF"/>
    <w:rsid w:val="002A7962"/>
    <w:rsid w:val="002B1D3C"/>
    <w:rsid w:val="002B64AA"/>
    <w:rsid w:val="002B6FE8"/>
    <w:rsid w:val="002E2893"/>
    <w:rsid w:val="002E56DF"/>
    <w:rsid w:val="002E6736"/>
    <w:rsid w:val="002F2EB7"/>
    <w:rsid w:val="002F3DF5"/>
    <w:rsid w:val="002F7605"/>
    <w:rsid w:val="00323F64"/>
    <w:rsid w:val="00343F67"/>
    <w:rsid w:val="003607E0"/>
    <w:rsid w:val="00364A7D"/>
    <w:rsid w:val="00366AC0"/>
    <w:rsid w:val="003674D5"/>
    <w:rsid w:val="00372FD0"/>
    <w:rsid w:val="00376102"/>
    <w:rsid w:val="0038040B"/>
    <w:rsid w:val="003A1538"/>
    <w:rsid w:val="003C7F3A"/>
    <w:rsid w:val="003D10D3"/>
    <w:rsid w:val="003D42CE"/>
    <w:rsid w:val="003D79A3"/>
    <w:rsid w:val="003F77A2"/>
    <w:rsid w:val="00416CD1"/>
    <w:rsid w:val="004407EF"/>
    <w:rsid w:val="00454DC8"/>
    <w:rsid w:val="004A0FFE"/>
    <w:rsid w:val="004D448F"/>
    <w:rsid w:val="00510450"/>
    <w:rsid w:val="0052380D"/>
    <w:rsid w:val="005406BB"/>
    <w:rsid w:val="00550A14"/>
    <w:rsid w:val="0058441C"/>
    <w:rsid w:val="00592444"/>
    <w:rsid w:val="005A4087"/>
    <w:rsid w:val="005D2C46"/>
    <w:rsid w:val="005D6CD1"/>
    <w:rsid w:val="005E3D5A"/>
    <w:rsid w:val="00631CD4"/>
    <w:rsid w:val="00633ED7"/>
    <w:rsid w:val="0065607E"/>
    <w:rsid w:val="00681E06"/>
    <w:rsid w:val="00686E73"/>
    <w:rsid w:val="006C6B3B"/>
    <w:rsid w:val="006D5E12"/>
    <w:rsid w:val="006E5F5D"/>
    <w:rsid w:val="006F185A"/>
    <w:rsid w:val="006F59C0"/>
    <w:rsid w:val="00745E87"/>
    <w:rsid w:val="00752188"/>
    <w:rsid w:val="00761638"/>
    <w:rsid w:val="007665D6"/>
    <w:rsid w:val="00786FEF"/>
    <w:rsid w:val="007A19B4"/>
    <w:rsid w:val="007C6053"/>
    <w:rsid w:val="007E49DC"/>
    <w:rsid w:val="007F6D0C"/>
    <w:rsid w:val="00801777"/>
    <w:rsid w:val="008051E8"/>
    <w:rsid w:val="00805BAB"/>
    <w:rsid w:val="008260AF"/>
    <w:rsid w:val="00831CD4"/>
    <w:rsid w:val="00834027"/>
    <w:rsid w:val="008343AD"/>
    <w:rsid w:val="00845B07"/>
    <w:rsid w:val="008460D4"/>
    <w:rsid w:val="0087492E"/>
    <w:rsid w:val="008B33C5"/>
    <w:rsid w:val="008C5161"/>
    <w:rsid w:val="008D3AB1"/>
    <w:rsid w:val="008F5294"/>
    <w:rsid w:val="008F7ECA"/>
    <w:rsid w:val="009727D3"/>
    <w:rsid w:val="009A4BC5"/>
    <w:rsid w:val="009C6D5B"/>
    <w:rsid w:val="009C6F1E"/>
    <w:rsid w:val="009E35A5"/>
    <w:rsid w:val="009E7C6C"/>
    <w:rsid w:val="009F209E"/>
    <w:rsid w:val="009F36DE"/>
    <w:rsid w:val="009F377F"/>
    <w:rsid w:val="00A2326C"/>
    <w:rsid w:val="00A5411F"/>
    <w:rsid w:val="00A663C2"/>
    <w:rsid w:val="00AA231C"/>
    <w:rsid w:val="00AA529A"/>
    <w:rsid w:val="00AB6C7E"/>
    <w:rsid w:val="00AC6EF3"/>
    <w:rsid w:val="00AD3DE2"/>
    <w:rsid w:val="00AE4675"/>
    <w:rsid w:val="00AF5E2D"/>
    <w:rsid w:val="00B21D01"/>
    <w:rsid w:val="00B37467"/>
    <w:rsid w:val="00B73D82"/>
    <w:rsid w:val="00B9524E"/>
    <w:rsid w:val="00BB15BC"/>
    <w:rsid w:val="00BE38D3"/>
    <w:rsid w:val="00BE6F1D"/>
    <w:rsid w:val="00C0432C"/>
    <w:rsid w:val="00C05665"/>
    <w:rsid w:val="00C3658C"/>
    <w:rsid w:val="00C71F0F"/>
    <w:rsid w:val="00C85105"/>
    <w:rsid w:val="00C867CD"/>
    <w:rsid w:val="00CB3434"/>
    <w:rsid w:val="00D12826"/>
    <w:rsid w:val="00D34BBA"/>
    <w:rsid w:val="00D431B8"/>
    <w:rsid w:val="00D45048"/>
    <w:rsid w:val="00D4530D"/>
    <w:rsid w:val="00D60FFF"/>
    <w:rsid w:val="00D705BB"/>
    <w:rsid w:val="00D70934"/>
    <w:rsid w:val="00D74CC9"/>
    <w:rsid w:val="00D772EB"/>
    <w:rsid w:val="00D84704"/>
    <w:rsid w:val="00D9167F"/>
    <w:rsid w:val="00D9196D"/>
    <w:rsid w:val="00DA3B65"/>
    <w:rsid w:val="00DB03B1"/>
    <w:rsid w:val="00DD24DA"/>
    <w:rsid w:val="00E0210A"/>
    <w:rsid w:val="00E1491B"/>
    <w:rsid w:val="00E23FB5"/>
    <w:rsid w:val="00E44B71"/>
    <w:rsid w:val="00E708C5"/>
    <w:rsid w:val="00E82370"/>
    <w:rsid w:val="00EA350C"/>
    <w:rsid w:val="00EB084A"/>
    <w:rsid w:val="00ED16C8"/>
    <w:rsid w:val="00ED17A8"/>
    <w:rsid w:val="00EF4700"/>
    <w:rsid w:val="00EF50B8"/>
    <w:rsid w:val="00F233F4"/>
    <w:rsid w:val="00F239C4"/>
    <w:rsid w:val="00F34140"/>
    <w:rsid w:val="00F4071D"/>
    <w:rsid w:val="00F55FE7"/>
    <w:rsid w:val="00F56A61"/>
    <w:rsid w:val="00F713F9"/>
    <w:rsid w:val="00F83438"/>
    <w:rsid w:val="00F84250"/>
    <w:rsid w:val="00F91B61"/>
    <w:rsid w:val="00F96489"/>
    <w:rsid w:val="00FB67ED"/>
    <w:rsid w:val="00FC68E6"/>
    <w:rsid w:val="00FE7F3B"/>
    <w:rsid w:val="00FF4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26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503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EF4700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7;&#1090;&#1072;&#1090;&#1100;&#1080;%202\&#1057;&#1090;&#1072;&#1090;&#1100;&#1103;%20&#1075;&#1077;&#1088;&#1073;&#1080;&#1094;&#1080;&#1076;&#1099;\&#1044;&#1042;%20&#1055;&#1088;&#1086;&#1090;&#1088;&#1072;&#1074;&#1083;&#1080;&#1074;&#1072;&#1085;&#1080;&#1077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7;&#1090;&#1072;&#1090;&#1100;&#1080;%202\&#1057;&#1090;&#1072;&#1090;&#1100;&#1103;%20&#1075;&#1077;&#1088;&#1073;&#1080;&#1094;&#1080;&#1076;&#1099;\&#1044;&#1042;%20&#1043;&#1077;&#1088;&#1073;&#1080;&#1094;&#1080;&#1076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931245655413056"/>
          <c:y val="3.8807183406861297E-2"/>
          <c:w val="0.85477184285499785"/>
          <c:h val="0.65882422209899283"/>
        </c:manualLayout>
      </c:layout>
      <c:barChart>
        <c:barDir val="col"/>
        <c:grouping val="clustered"/>
        <c:ser>
          <c:idx val="0"/>
          <c:order val="0"/>
          <c:tx>
            <c:strRef>
              <c:f>'Протравливание ДВ'!$A$4</c:f>
              <c:strCache>
                <c:ptCount val="1"/>
                <c:pt idx="0">
                  <c:v>Протравители на основе тебуконазола, поступившие в край (тыс.тн)</c:v>
                </c:pt>
              </c:strCache>
            </c:strRef>
          </c:tx>
          <c:spPr>
            <a:solidFill>
              <a:srgbClr val="0070C0"/>
            </a:solidFill>
          </c:spPr>
          <c:dLbls>
            <c:dLbl>
              <c:idx val="5"/>
              <c:layout>
                <c:manualLayout>
                  <c:x val="-4.3787629994527085E-3"/>
                  <c:y val="5.0505050505050475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'Протравливание ДВ'!$B$3:$J$3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'Протравливание ДВ'!$B$4:$J$4</c:f>
              <c:numCache>
                <c:formatCode>General</c:formatCode>
                <c:ptCount val="9"/>
                <c:pt idx="0">
                  <c:v>60.2</c:v>
                </c:pt>
                <c:pt idx="1">
                  <c:v>64</c:v>
                </c:pt>
                <c:pt idx="2" formatCode="0.0">
                  <c:v>67.09</c:v>
                </c:pt>
                <c:pt idx="3" formatCode="0.0">
                  <c:v>62.74</c:v>
                </c:pt>
                <c:pt idx="4">
                  <c:v>55.5</c:v>
                </c:pt>
                <c:pt idx="5">
                  <c:v>46.6</c:v>
                </c:pt>
                <c:pt idx="6" formatCode="0.0">
                  <c:v>51.13</c:v>
                </c:pt>
                <c:pt idx="7">
                  <c:v>70</c:v>
                </c:pt>
                <c:pt idx="8">
                  <c:v>47.6</c:v>
                </c:pt>
              </c:numCache>
            </c:numRef>
          </c:val>
        </c:ser>
        <c:ser>
          <c:idx val="1"/>
          <c:order val="1"/>
          <c:tx>
            <c:strRef>
              <c:f>'Протравливание ДВ'!$A$5</c:f>
              <c:strCache>
                <c:ptCount val="1"/>
                <c:pt idx="0">
                  <c:v>Протравители на основе тирама, поступившие в край (тыс.тн)</c:v>
                </c:pt>
              </c:strCache>
            </c:strRef>
          </c:tx>
          <c:spPr>
            <a:solidFill>
              <a:srgbClr val="FF0000"/>
            </a:solidFill>
          </c:spPr>
          <c:dLbls>
            <c:dLbl>
              <c:idx val="0"/>
              <c:layout>
                <c:manualLayout>
                  <c:x val="8.7575259989053581E-3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1.0946907498631643E-2"/>
                  <c:y val="1.5151117473952119E-2"/>
                </c:manualLayout>
              </c:layout>
              <c:showVal val="1"/>
            </c:dLbl>
            <c:dLbl>
              <c:idx val="2"/>
              <c:layout>
                <c:manualLayout>
                  <c:x val="1.0946907498631643E-2"/>
                  <c:y val="9.2591522967420573E-17"/>
                </c:manualLayout>
              </c:layout>
              <c:showVal val="1"/>
            </c:dLbl>
            <c:dLbl>
              <c:idx val="3"/>
              <c:layout>
                <c:manualLayout>
                  <c:x val="1.3136288998357963E-2"/>
                  <c:y val="5.0505050505050475E-3"/>
                </c:manualLayout>
              </c:layout>
              <c:showVal val="1"/>
            </c:dLbl>
            <c:dLbl>
              <c:idx val="4"/>
              <c:layout>
                <c:manualLayout>
                  <c:x val="1.3136288998357963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'Протравливание ДВ'!$B$3:$J$3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'Протравливание ДВ'!$B$5:$J$5</c:f>
              <c:numCache>
                <c:formatCode>General</c:formatCode>
                <c:ptCount val="9"/>
                <c:pt idx="0">
                  <c:v>5.3</c:v>
                </c:pt>
                <c:pt idx="1">
                  <c:v>5.9</c:v>
                </c:pt>
                <c:pt idx="2" formatCode="0.0">
                  <c:v>6.4</c:v>
                </c:pt>
                <c:pt idx="3" formatCode="0.0">
                  <c:v>9.3000000000000007</c:v>
                </c:pt>
                <c:pt idx="4">
                  <c:v>7.7</c:v>
                </c:pt>
                <c:pt idx="5">
                  <c:v>13.2</c:v>
                </c:pt>
                <c:pt idx="6" formatCode="0.0">
                  <c:v>16.8</c:v>
                </c:pt>
              </c:numCache>
            </c:numRef>
          </c:val>
        </c:ser>
        <c:axId val="111695744"/>
        <c:axId val="111697280"/>
      </c:barChart>
      <c:lineChart>
        <c:grouping val="standard"/>
        <c:ser>
          <c:idx val="3"/>
          <c:order val="2"/>
          <c:tx>
            <c:strRef>
              <c:f>'Протравливание ДВ'!#REF!</c:f>
              <c:strCache>
                <c:ptCount val="1"/>
                <c:pt idx="0">
                  <c:v>#REF!</c:v>
                </c:pt>
              </c:strCache>
            </c:strRef>
          </c:tx>
          <c:marker>
            <c:symbol val="none"/>
          </c:marker>
          <c:cat>
            <c:numRef>
              <c:f>'Протравливание ДВ'!$B$3:$J$3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'Протравливание ДВ'!#REF!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3"/>
          <c:tx>
            <c:strRef>
              <c:f>'Протравливание ДВ'!$A$9</c:f>
              <c:strCache>
                <c:ptCount val="1"/>
                <c:pt idx="0">
                  <c:v>Протравители на основе тирама, проверенные в ИЛ (тыс.тн)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none"/>
          </c:marker>
          <c:cat>
            <c:numRef>
              <c:f>'Протравливание ДВ'!$B$3:$J$3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'Протравливание ДВ'!$B$9:$J$9</c:f>
              <c:numCache>
                <c:formatCode>General</c:formatCode>
                <c:ptCount val="9"/>
                <c:pt idx="0">
                  <c:v>2.7</c:v>
                </c:pt>
                <c:pt idx="1">
                  <c:v>2.1</c:v>
                </c:pt>
                <c:pt idx="2">
                  <c:v>3.2</c:v>
                </c:pt>
                <c:pt idx="3" formatCode="0.0">
                  <c:v>4.7</c:v>
                </c:pt>
                <c:pt idx="4" formatCode="0.0">
                  <c:v>2.4</c:v>
                </c:pt>
                <c:pt idx="5" formatCode="0.0">
                  <c:v>5.6</c:v>
                </c:pt>
                <c:pt idx="6" formatCode="0.0">
                  <c:v>7.8</c:v>
                </c:pt>
              </c:numCache>
            </c:numRef>
          </c:val>
        </c:ser>
        <c:ser>
          <c:idx val="5"/>
          <c:order val="4"/>
          <c:tx>
            <c:strRef>
              <c:f>'Протравливание ДВ'!$A$10</c:f>
              <c:strCache>
                <c:ptCount val="1"/>
                <c:pt idx="0">
                  <c:v>Протравители на основе тебуконазола, проверенные в ИЛ (тыс.тн)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cat>
            <c:numRef>
              <c:f>'Протравливание ДВ'!$B$3:$J$3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'Протравливание ДВ'!$B$10:$J$10</c:f>
              <c:numCache>
                <c:formatCode>0.0</c:formatCode>
                <c:ptCount val="9"/>
                <c:pt idx="0">
                  <c:v>22.8</c:v>
                </c:pt>
                <c:pt idx="1">
                  <c:v>27.7</c:v>
                </c:pt>
                <c:pt idx="2">
                  <c:v>17.7</c:v>
                </c:pt>
                <c:pt idx="3">
                  <c:v>19.3</c:v>
                </c:pt>
                <c:pt idx="4">
                  <c:v>17.8</c:v>
                </c:pt>
                <c:pt idx="5">
                  <c:v>10.1</c:v>
                </c:pt>
                <c:pt idx="6">
                  <c:v>13.4</c:v>
                </c:pt>
                <c:pt idx="7">
                  <c:v>24.1</c:v>
                </c:pt>
                <c:pt idx="8">
                  <c:v>28.6</c:v>
                </c:pt>
              </c:numCache>
            </c:numRef>
          </c:val>
        </c:ser>
        <c:marker val="1"/>
        <c:axId val="111695744"/>
        <c:axId val="111697280"/>
      </c:lineChart>
      <c:catAx>
        <c:axId val="11169574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697280"/>
        <c:crosses val="autoZero"/>
        <c:auto val="1"/>
        <c:lblAlgn val="ctr"/>
        <c:lblOffset val="100"/>
      </c:catAx>
      <c:valAx>
        <c:axId val="11169728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тыс.</a:t>
                </a:r>
                <a:r>
                  <a:rPr lang="ru-RU" baseline="0">
                    <a:latin typeface="Times New Roman" pitchFamily="18" charset="0"/>
                    <a:cs typeface="Times New Roman" pitchFamily="18" charset="0"/>
                  </a:rPr>
                  <a:t> тн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18729696177873E-2"/>
              <c:y val="0.27362421272650911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1169574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5.904448221704349E-2"/>
          <c:y val="0.78706391981221691"/>
          <c:w val="0.8526010283757739"/>
          <c:h val="0.17218523394152291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0791105409450501"/>
          <c:y val="3.7204412011831944E-2"/>
          <c:w val="0.86856959589480431"/>
          <c:h val="0.68737667882578934"/>
        </c:manualLayout>
      </c:layout>
      <c:barChart>
        <c:barDir val="col"/>
        <c:grouping val="clustered"/>
        <c:ser>
          <c:idx val="0"/>
          <c:order val="0"/>
          <c:tx>
            <c:strRef>
              <c:f>Лист2!$A$5</c:f>
              <c:strCache>
                <c:ptCount val="1"/>
                <c:pt idx="0">
                  <c:v>Гербициды на основе метсульфурон-метила, поступившие в край (тыс.тн)</c:v>
                </c:pt>
              </c:strCache>
            </c:strRef>
          </c:tx>
          <c:spPr>
            <a:solidFill>
              <a:srgbClr val="00B0F0"/>
            </a:solidFill>
          </c:spPr>
          <c:cat>
            <c:numRef>
              <c:f>Лист2!$B$4:$J$4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Лист2!$B$5:$J$5</c:f>
              <c:numCache>
                <c:formatCode>General</c:formatCode>
                <c:ptCount val="9"/>
                <c:pt idx="0">
                  <c:v>8.7000000000000011</c:v>
                </c:pt>
                <c:pt idx="1">
                  <c:v>7.4</c:v>
                </c:pt>
                <c:pt idx="2">
                  <c:v>8.1</c:v>
                </c:pt>
                <c:pt idx="3" formatCode="0.0">
                  <c:v>7.04</c:v>
                </c:pt>
                <c:pt idx="4">
                  <c:v>7.6</c:v>
                </c:pt>
                <c:pt idx="5">
                  <c:v>11.3</c:v>
                </c:pt>
                <c:pt idx="6" formatCode="0.0">
                  <c:v>10.9</c:v>
                </c:pt>
                <c:pt idx="7">
                  <c:v>6.3</c:v>
                </c:pt>
                <c:pt idx="8" formatCode="0.0">
                  <c:v>4.07</c:v>
                </c:pt>
              </c:numCache>
            </c:numRef>
          </c:val>
        </c:ser>
        <c:ser>
          <c:idx val="1"/>
          <c:order val="1"/>
          <c:tx>
            <c:strRef>
              <c:f>Лист2!$A$6</c:f>
              <c:strCache>
                <c:ptCount val="1"/>
                <c:pt idx="0">
                  <c:v>Гербициды на основе феноксапроп-П-этила, поступившие в край (тыс.тн)</c:v>
                </c:pt>
              </c:strCache>
            </c:strRef>
          </c:tx>
          <c:spPr>
            <a:solidFill>
              <a:srgbClr val="00FF00"/>
            </a:solidFill>
          </c:spPr>
          <c:cat>
            <c:numRef>
              <c:f>Лист2!$B$4:$J$4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Лист2!$B$6:$J$6</c:f>
              <c:numCache>
                <c:formatCode>General</c:formatCode>
                <c:ptCount val="9"/>
                <c:pt idx="0">
                  <c:v>6.5</c:v>
                </c:pt>
                <c:pt idx="1">
                  <c:v>7.2</c:v>
                </c:pt>
                <c:pt idx="2" formatCode="0.0">
                  <c:v>7.87</c:v>
                </c:pt>
                <c:pt idx="3" formatCode="0.0">
                  <c:v>12.3</c:v>
                </c:pt>
                <c:pt idx="4" formatCode="0.0">
                  <c:v>12.860000000000008</c:v>
                </c:pt>
                <c:pt idx="5" formatCode="0.0">
                  <c:v>7.52</c:v>
                </c:pt>
                <c:pt idx="6" formatCode="0.0">
                  <c:v>8.5</c:v>
                </c:pt>
                <c:pt idx="7" formatCode="0.0">
                  <c:v>7.24</c:v>
                </c:pt>
                <c:pt idx="8" formatCode="0.0">
                  <c:v>7.8199999999999985</c:v>
                </c:pt>
              </c:numCache>
            </c:numRef>
          </c:val>
        </c:ser>
        <c:axId val="121889152"/>
        <c:axId val="122721792"/>
      </c:barChart>
      <c:lineChart>
        <c:grouping val="standard"/>
        <c:ser>
          <c:idx val="2"/>
          <c:order val="2"/>
          <c:tx>
            <c:strRef>
              <c:f>Лист2!$A$7</c:f>
              <c:strCache>
                <c:ptCount val="1"/>
                <c:pt idx="0">
                  <c:v>Гербициды на основе метсульфурон-метила,  проверенные в ИЛ (тыс.тн)</c:v>
                </c:pt>
              </c:strCache>
            </c:strRef>
          </c:tx>
          <c:spPr>
            <a:ln>
              <a:solidFill>
                <a:srgbClr val="0070C0"/>
              </a:solidFill>
            </a:ln>
          </c:spPr>
          <c:marker>
            <c:symbol val="none"/>
          </c:marker>
          <c:cat>
            <c:numRef>
              <c:f>Лист2!$B$4:$J$4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Лист2!$B$7:$J$7</c:f>
              <c:numCache>
                <c:formatCode>General</c:formatCode>
                <c:ptCount val="9"/>
                <c:pt idx="0">
                  <c:v>4.7</c:v>
                </c:pt>
                <c:pt idx="1">
                  <c:v>5.6</c:v>
                </c:pt>
                <c:pt idx="2">
                  <c:v>2.5</c:v>
                </c:pt>
                <c:pt idx="3" formatCode="0.0">
                  <c:v>3.2</c:v>
                </c:pt>
                <c:pt idx="4">
                  <c:v>3.4</c:v>
                </c:pt>
                <c:pt idx="5">
                  <c:v>1.7</c:v>
                </c:pt>
                <c:pt idx="6" formatCode="0.0">
                  <c:v>2.5</c:v>
                </c:pt>
                <c:pt idx="7">
                  <c:v>2.2000000000000002</c:v>
                </c:pt>
                <c:pt idx="8">
                  <c:v>2.2999999999999998</c:v>
                </c:pt>
              </c:numCache>
            </c:numRef>
          </c:val>
        </c:ser>
        <c:ser>
          <c:idx val="3"/>
          <c:order val="3"/>
          <c:tx>
            <c:strRef>
              <c:f>Лист2!$A$8</c:f>
              <c:strCache>
                <c:ptCount val="1"/>
                <c:pt idx="0">
                  <c:v>Гербициды на основе феноксапроп-П-этила, проверенные в ИЛ (тыс.тн)</c:v>
                </c:pt>
              </c:strCache>
            </c:strRef>
          </c:tx>
          <c:spPr>
            <a:ln>
              <a:solidFill>
                <a:srgbClr val="00B050"/>
              </a:solidFill>
            </a:ln>
          </c:spPr>
          <c:marker>
            <c:symbol val="none"/>
          </c:marker>
          <c:cat>
            <c:numRef>
              <c:f>Лист2!$B$4:$J$4</c:f>
              <c:numCache>
                <c:formatCode>General</c:formatCode>
                <c:ptCount val="9"/>
                <c:pt idx="0">
                  <c:v>2009</c:v>
                </c:pt>
                <c:pt idx="1">
                  <c:v>2010</c:v>
                </c:pt>
                <c:pt idx="2">
                  <c:v>2011</c:v>
                </c:pt>
                <c:pt idx="3">
                  <c:v>2012</c:v>
                </c:pt>
                <c:pt idx="4">
                  <c:v>2013</c:v>
                </c:pt>
                <c:pt idx="5">
                  <c:v>2014</c:v>
                </c:pt>
                <c:pt idx="6">
                  <c:v>2015</c:v>
                </c:pt>
                <c:pt idx="7">
                  <c:v>2016</c:v>
                </c:pt>
                <c:pt idx="8">
                  <c:v>2017</c:v>
                </c:pt>
              </c:numCache>
            </c:numRef>
          </c:cat>
          <c:val>
            <c:numRef>
              <c:f>Лист2!$B$8:$J$8</c:f>
              <c:numCache>
                <c:formatCode>General</c:formatCode>
                <c:ptCount val="9"/>
                <c:pt idx="0">
                  <c:v>2.5</c:v>
                </c:pt>
                <c:pt idx="1">
                  <c:v>2.8</c:v>
                </c:pt>
                <c:pt idx="2" formatCode="0.0">
                  <c:v>2.4</c:v>
                </c:pt>
                <c:pt idx="3" formatCode="0.0">
                  <c:v>3.4</c:v>
                </c:pt>
                <c:pt idx="4">
                  <c:v>3.1</c:v>
                </c:pt>
                <c:pt idx="5">
                  <c:v>1.9000000000000001</c:v>
                </c:pt>
                <c:pt idx="6" formatCode="0.0">
                  <c:v>2.2000000000000002</c:v>
                </c:pt>
                <c:pt idx="7" formatCode="0.0">
                  <c:v>2.4</c:v>
                </c:pt>
                <c:pt idx="8" formatCode="0.0">
                  <c:v>1.2</c:v>
                </c:pt>
              </c:numCache>
            </c:numRef>
          </c:val>
        </c:ser>
        <c:marker val="1"/>
        <c:axId val="121889152"/>
        <c:axId val="122721792"/>
      </c:lineChart>
      <c:catAx>
        <c:axId val="12188915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2721792"/>
        <c:crosses val="autoZero"/>
        <c:auto val="1"/>
        <c:lblAlgn val="ctr"/>
        <c:lblOffset val="100"/>
      </c:catAx>
      <c:valAx>
        <c:axId val="122721792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тыс.тн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218891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6109300031763573E-2"/>
          <c:y val="0.82917662135469361"/>
          <c:w val="0.82476653794071919"/>
          <c:h val="0.15067227600187588"/>
        </c:manualLayout>
      </c:layout>
      <c:txPr>
        <a:bodyPr/>
        <a:lstStyle/>
        <a:p>
          <a:pPr>
            <a:defRPr sz="900" b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07165-B922-4591-9881-78B788C67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ИванченкоАА</dc:creator>
  <cp:lastModifiedBy>User</cp:lastModifiedBy>
  <cp:revision>3</cp:revision>
  <cp:lastPrinted>2017-08-03T09:03:00Z</cp:lastPrinted>
  <dcterms:created xsi:type="dcterms:W3CDTF">2017-08-07T10:00:00Z</dcterms:created>
  <dcterms:modified xsi:type="dcterms:W3CDTF">2017-08-07T10:00:00Z</dcterms:modified>
</cp:coreProperties>
</file>