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72" w:rsidRPr="00CD2115" w:rsidRDefault="00BE599C" w:rsidP="00BE599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Красноярский филиал</w:t>
      </w:r>
      <w:r w:rsidR="00CD2115" w:rsidRPr="00CD211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проверяет семена</w:t>
      </w:r>
      <w:r w:rsidR="00CD2115" w:rsidRPr="00CD2115">
        <w:rPr>
          <w:rFonts w:ascii="Times New Roman" w:hAnsi="Times New Roman" w:cs="Times New Roman"/>
          <w:b/>
          <w:sz w:val="32"/>
          <w:szCs w:val="32"/>
        </w:rPr>
        <w:t xml:space="preserve"> кукурузы</w:t>
      </w:r>
    </w:p>
    <w:p w:rsidR="001B68FA" w:rsidRDefault="001B68FA" w:rsidP="00024313">
      <w:pPr>
        <w:pStyle w:val="a3"/>
        <w:spacing w:line="276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</w:tblGrid>
      <w:tr w:rsidR="00024313" w:rsidTr="00950268">
        <w:trPr>
          <w:trHeight w:val="3675"/>
        </w:trPr>
        <w:tc>
          <w:tcPr>
            <w:tcW w:w="5508" w:type="dxa"/>
          </w:tcPr>
          <w:p w:rsidR="00024313" w:rsidRDefault="002C671F" w:rsidP="00CD2115">
            <w:pPr>
              <w:pStyle w:val="a3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3340826" cy="3873730"/>
                  <wp:effectExtent l="19050" t="0" r="0" b="0"/>
                  <wp:docPr id="2" name="Рисунок 2" descr="C:\Users\Кузнецова ИА\Desktop\IMG-20210112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узнецова ИА\Desktop\IMG-20210112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045" cy="3876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313" w:rsidTr="00950268">
        <w:tc>
          <w:tcPr>
            <w:tcW w:w="5508" w:type="dxa"/>
          </w:tcPr>
          <w:p w:rsidR="00024313" w:rsidRPr="002C671F" w:rsidRDefault="002C671F" w:rsidP="00EB723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C67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Гл. агроном Емельяновского межрайонного отдела филиала ФГБУ «Россель</w:t>
            </w:r>
            <w:r w:rsidR="00EB723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хозцентр» по Красноярскому краю Т.Д. Пехтерева </w:t>
            </w:r>
            <w:r w:rsidRPr="002C671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делает посев семян кукурузы в песок для определения их всхожести</w:t>
            </w:r>
          </w:p>
        </w:tc>
      </w:tr>
    </w:tbl>
    <w:p w:rsidR="00B113B9" w:rsidRPr="00CC186B" w:rsidRDefault="00CD2115" w:rsidP="00CD211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C186B">
        <w:rPr>
          <w:rFonts w:ascii="Times New Roman" w:hAnsi="Times New Roman" w:cs="Times New Roman"/>
          <w:sz w:val="26"/>
          <w:szCs w:val="26"/>
        </w:rPr>
        <w:t>К</w:t>
      </w:r>
      <w:r w:rsidR="001B68FA" w:rsidRPr="00CC186B">
        <w:rPr>
          <w:rFonts w:ascii="Times New Roman" w:hAnsi="Times New Roman" w:cs="Times New Roman"/>
          <w:sz w:val="26"/>
          <w:szCs w:val="26"/>
        </w:rPr>
        <w:t xml:space="preserve">лиматические условия Красноярского края не позволяют вести собственное производство семян кукурузы. Семенной фонд культуры формируется дистрибьюторскими компаниями, которые ежегодно представляют образцы в филиал ФГБУ «Россельхозцентр» по Красноярскому краю для переоформления сертификатов соответствия. В январе уже </w:t>
      </w:r>
      <w:r w:rsidR="00B113B9" w:rsidRPr="00CC186B">
        <w:rPr>
          <w:rFonts w:ascii="Times New Roman" w:hAnsi="Times New Roman" w:cs="Times New Roman"/>
          <w:sz w:val="26"/>
          <w:szCs w:val="26"/>
        </w:rPr>
        <w:t xml:space="preserve">поступили три партии </w:t>
      </w:r>
      <w:r w:rsidR="001F5DDA" w:rsidRPr="00CC186B">
        <w:rPr>
          <w:rFonts w:ascii="Times New Roman" w:hAnsi="Times New Roman" w:cs="Times New Roman"/>
          <w:sz w:val="26"/>
          <w:szCs w:val="26"/>
        </w:rPr>
        <w:t xml:space="preserve">протравленных </w:t>
      </w:r>
      <w:r w:rsidR="00B113B9" w:rsidRPr="00CC186B">
        <w:rPr>
          <w:rFonts w:ascii="Times New Roman" w:hAnsi="Times New Roman" w:cs="Times New Roman"/>
          <w:sz w:val="26"/>
          <w:szCs w:val="26"/>
        </w:rPr>
        <w:t xml:space="preserve">семян кукурузы сортов </w:t>
      </w:r>
      <w:r w:rsidR="0085235F" w:rsidRPr="00CC186B">
        <w:rPr>
          <w:rFonts w:ascii="Times New Roman" w:hAnsi="Times New Roman" w:cs="Times New Roman"/>
          <w:sz w:val="26"/>
          <w:szCs w:val="26"/>
        </w:rPr>
        <w:t xml:space="preserve">РОСС 140 </w:t>
      </w:r>
      <w:proofErr w:type="gramStart"/>
      <w:r w:rsidR="0085235F" w:rsidRPr="00CC186B">
        <w:rPr>
          <w:rFonts w:ascii="Times New Roman" w:hAnsi="Times New Roman" w:cs="Times New Roman"/>
          <w:sz w:val="26"/>
          <w:szCs w:val="26"/>
        </w:rPr>
        <w:t>СВ</w:t>
      </w:r>
      <w:proofErr w:type="gramEnd"/>
      <w:r w:rsidR="0085235F" w:rsidRPr="00CC186B">
        <w:rPr>
          <w:rFonts w:ascii="Times New Roman" w:hAnsi="Times New Roman" w:cs="Times New Roman"/>
          <w:sz w:val="26"/>
          <w:szCs w:val="26"/>
        </w:rPr>
        <w:t xml:space="preserve">, РОСС 199, Машук 175 МВ </w:t>
      </w:r>
      <w:r w:rsidR="001F5DDA" w:rsidRPr="00CC186B">
        <w:rPr>
          <w:rFonts w:ascii="Times New Roman" w:hAnsi="Times New Roman" w:cs="Times New Roman"/>
          <w:sz w:val="26"/>
          <w:szCs w:val="26"/>
        </w:rPr>
        <w:t>из Кабардино-Балкарской Республики</w:t>
      </w:r>
      <w:r w:rsidR="007D5DB6" w:rsidRPr="00CC186B">
        <w:rPr>
          <w:rFonts w:ascii="Times New Roman" w:hAnsi="Times New Roman" w:cs="Times New Roman"/>
          <w:sz w:val="26"/>
          <w:szCs w:val="26"/>
        </w:rPr>
        <w:t xml:space="preserve"> общим весом 500 ц.</w:t>
      </w:r>
      <w:r w:rsidR="001F5DDA" w:rsidRPr="00CC186B">
        <w:rPr>
          <w:rFonts w:ascii="Times New Roman" w:hAnsi="Times New Roman" w:cs="Times New Roman"/>
          <w:sz w:val="26"/>
          <w:szCs w:val="26"/>
        </w:rPr>
        <w:t xml:space="preserve"> </w:t>
      </w:r>
      <w:r w:rsidR="007D5DB6" w:rsidRPr="00CC186B">
        <w:rPr>
          <w:rFonts w:ascii="Times New Roman" w:hAnsi="Times New Roman" w:cs="Times New Roman"/>
          <w:sz w:val="26"/>
          <w:szCs w:val="26"/>
        </w:rPr>
        <w:t>Специалисты оценили</w:t>
      </w:r>
      <w:r w:rsidR="0085235F" w:rsidRPr="00CC186B">
        <w:rPr>
          <w:rFonts w:ascii="Times New Roman" w:hAnsi="Times New Roman" w:cs="Times New Roman"/>
          <w:sz w:val="26"/>
          <w:szCs w:val="26"/>
        </w:rPr>
        <w:t xml:space="preserve"> их всхожесть, </w:t>
      </w:r>
      <w:r w:rsidR="00AD10DD" w:rsidRPr="00CC186B">
        <w:rPr>
          <w:rFonts w:ascii="Times New Roman" w:hAnsi="Times New Roman" w:cs="Times New Roman"/>
          <w:sz w:val="26"/>
          <w:szCs w:val="26"/>
        </w:rPr>
        <w:t xml:space="preserve">которая составила 98-99%. </w:t>
      </w:r>
      <w:r w:rsidR="00CC186B" w:rsidRPr="00CC186B">
        <w:rPr>
          <w:rFonts w:ascii="Times New Roman" w:hAnsi="Times New Roman" w:cs="Times New Roman"/>
          <w:sz w:val="26"/>
          <w:szCs w:val="26"/>
        </w:rPr>
        <w:t>П</w:t>
      </w:r>
      <w:r w:rsidR="00AD10DD" w:rsidRPr="00CC186B">
        <w:rPr>
          <w:rFonts w:ascii="Times New Roman" w:hAnsi="Times New Roman" w:cs="Times New Roman"/>
          <w:sz w:val="26"/>
          <w:szCs w:val="26"/>
        </w:rPr>
        <w:t xml:space="preserve">артии культуры получили подтверждающий документ. Дополнительно </w:t>
      </w:r>
      <w:r w:rsidR="007D5DB6" w:rsidRPr="00CC186B">
        <w:rPr>
          <w:rFonts w:ascii="Times New Roman" w:hAnsi="Times New Roman" w:cs="Times New Roman"/>
          <w:sz w:val="26"/>
          <w:szCs w:val="26"/>
        </w:rPr>
        <w:t>семена</w:t>
      </w:r>
      <w:r w:rsidR="00AD10DD" w:rsidRPr="00CC186B">
        <w:rPr>
          <w:rFonts w:ascii="Times New Roman" w:hAnsi="Times New Roman" w:cs="Times New Roman"/>
          <w:sz w:val="26"/>
          <w:szCs w:val="26"/>
        </w:rPr>
        <w:t xml:space="preserve"> исследовались на</w:t>
      </w:r>
      <w:r w:rsidR="00CC186B" w:rsidRPr="00CC186B">
        <w:rPr>
          <w:rFonts w:ascii="Times New Roman" w:hAnsi="Times New Roman" w:cs="Times New Roman"/>
          <w:sz w:val="26"/>
          <w:szCs w:val="26"/>
        </w:rPr>
        <w:t xml:space="preserve"> зараженность фитопатогенами (в соответствии с ГОСТом 12044-93, предварительно промыв). </w:t>
      </w:r>
      <w:r w:rsidR="001B68FA" w:rsidRPr="00CC186B">
        <w:rPr>
          <w:rFonts w:ascii="Times New Roman" w:hAnsi="Times New Roman" w:cs="Times New Roman"/>
          <w:sz w:val="26"/>
          <w:szCs w:val="26"/>
        </w:rPr>
        <w:t xml:space="preserve">Все сорта оказались сильно пораженными грибами </w:t>
      </w:r>
      <w:r w:rsidR="001B68FA" w:rsidRPr="00CC186B">
        <w:rPr>
          <w:rFonts w:ascii="Times New Roman" w:hAnsi="Times New Roman" w:cs="Times New Roman"/>
          <w:i/>
          <w:sz w:val="26"/>
          <w:szCs w:val="26"/>
        </w:rPr>
        <w:t xml:space="preserve">р. </w:t>
      </w:r>
      <w:r w:rsidR="001B68FA" w:rsidRPr="00CC186B">
        <w:rPr>
          <w:rFonts w:ascii="Times New Roman" w:hAnsi="Times New Roman" w:cs="Times New Roman"/>
          <w:i/>
          <w:sz w:val="26"/>
          <w:szCs w:val="26"/>
          <w:lang w:val="en-US"/>
        </w:rPr>
        <w:t>Penicillium</w:t>
      </w:r>
      <w:r w:rsidR="001B68FA" w:rsidRPr="00CC186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B68FA" w:rsidRPr="00CC186B">
        <w:rPr>
          <w:rFonts w:ascii="Times New Roman" w:hAnsi="Times New Roman" w:cs="Times New Roman"/>
          <w:i/>
          <w:sz w:val="26"/>
          <w:szCs w:val="26"/>
          <w:lang w:val="en-US"/>
        </w:rPr>
        <w:t>sp</w:t>
      </w:r>
      <w:r w:rsidR="001B68FA" w:rsidRPr="00CC186B">
        <w:rPr>
          <w:rFonts w:ascii="Times New Roman" w:hAnsi="Times New Roman" w:cs="Times New Roman"/>
          <w:i/>
          <w:sz w:val="26"/>
          <w:szCs w:val="26"/>
        </w:rPr>
        <w:t>.</w:t>
      </w:r>
      <w:r w:rsidR="001B68FA" w:rsidRPr="00CC186B">
        <w:rPr>
          <w:rFonts w:ascii="Times New Roman" w:hAnsi="Times New Roman" w:cs="Times New Roman"/>
          <w:sz w:val="26"/>
          <w:szCs w:val="26"/>
        </w:rPr>
        <w:t xml:space="preserve">, вызывающими заплесневение. В партии сорта РОСС 199 МВ </w:t>
      </w:r>
      <w:r w:rsidR="007D5DB6" w:rsidRPr="00CC186B">
        <w:rPr>
          <w:rFonts w:ascii="Times New Roman" w:hAnsi="Times New Roman" w:cs="Times New Roman"/>
          <w:sz w:val="26"/>
          <w:szCs w:val="26"/>
        </w:rPr>
        <w:t xml:space="preserve">была обнаружена фузариозная инфекция. </w:t>
      </w:r>
      <w:r w:rsidR="00CC186B" w:rsidRPr="00CC186B">
        <w:rPr>
          <w:rFonts w:ascii="Times New Roman" w:hAnsi="Times New Roman" w:cs="Times New Roman"/>
          <w:sz w:val="26"/>
          <w:szCs w:val="26"/>
        </w:rPr>
        <w:t xml:space="preserve">При отсутствии протравливания эти заболевания могли бы существенно снизить полевую всхожесть семян. </w:t>
      </w:r>
      <w:r w:rsidR="00CC186B">
        <w:rPr>
          <w:rFonts w:ascii="Times New Roman" w:hAnsi="Times New Roman" w:cs="Times New Roman"/>
          <w:sz w:val="26"/>
          <w:szCs w:val="26"/>
        </w:rPr>
        <w:t>Полученные результаты также были доведены</w:t>
      </w:r>
      <w:r w:rsidR="007D5DB6" w:rsidRPr="00CC186B">
        <w:rPr>
          <w:rFonts w:ascii="Times New Roman" w:hAnsi="Times New Roman" w:cs="Times New Roman"/>
          <w:sz w:val="26"/>
          <w:szCs w:val="26"/>
        </w:rPr>
        <w:t xml:space="preserve"> до заказчика. </w:t>
      </w:r>
      <w:r w:rsidR="003D6E69" w:rsidRPr="00CC186B">
        <w:rPr>
          <w:rFonts w:ascii="Times New Roman" w:hAnsi="Times New Roman" w:cs="Times New Roman"/>
          <w:sz w:val="26"/>
          <w:szCs w:val="26"/>
        </w:rPr>
        <w:t>За зимний период п</w:t>
      </w:r>
      <w:r w:rsidR="007D5DB6" w:rsidRPr="00CC186B">
        <w:rPr>
          <w:rFonts w:ascii="Times New Roman" w:hAnsi="Times New Roman" w:cs="Times New Roman"/>
          <w:sz w:val="26"/>
          <w:szCs w:val="26"/>
        </w:rPr>
        <w:t xml:space="preserve">ланируется проанализировать </w:t>
      </w:r>
      <w:r w:rsidR="00CC186B" w:rsidRPr="00CC186B">
        <w:rPr>
          <w:rFonts w:ascii="Times New Roman" w:hAnsi="Times New Roman" w:cs="Times New Roman"/>
          <w:sz w:val="26"/>
          <w:szCs w:val="26"/>
        </w:rPr>
        <w:t>порядка 15 партий</w:t>
      </w:r>
      <w:r w:rsidR="003D6E69" w:rsidRPr="00CC186B">
        <w:rPr>
          <w:rFonts w:ascii="Times New Roman" w:hAnsi="Times New Roman" w:cs="Times New Roman"/>
          <w:sz w:val="26"/>
          <w:szCs w:val="26"/>
        </w:rPr>
        <w:t xml:space="preserve"> культуры.</w:t>
      </w:r>
    </w:p>
    <w:tbl>
      <w:tblPr>
        <w:tblStyle w:val="a4"/>
        <w:tblpPr w:leftFromText="180" w:rightFromText="180" w:vertAnchor="text" w:tblpX="430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08"/>
      </w:tblGrid>
      <w:tr w:rsidR="00CD2115" w:rsidTr="00E772B1">
        <w:trPr>
          <w:trHeight w:val="3392"/>
        </w:trPr>
        <w:tc>
          <w:tcPr>
            <w:tcW w:w="6408" w:type="dxa"/>
          </w:tcPr>
          <w:p w:rsidR="00CD2115" w:rsidRDefault="00950268" w:rsidP="00E772B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50268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829743" cy="2210551"/>
                  <wp:effectExtent l="19050" t="0" r="18357" b="0"/>
                  <wp:docPr id="4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CD2115" w:rsidTr="00E772B1">
        <w:tc>
          <w:tcPr>
            <w:tcW w:w="6408" w:type="dxa"/>
          </w:tcPr>
          <w:p w:rsidR="00CD2115" w:rsidRPr="00950268" w:rsidRDefault="00950268" w:rsidP="004124D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02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Рис. 1. Наиболее распространенные в </w:t>
            </w:r>
            <w:r w:rsidR="00E772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2020 г.</w:t>
            </w:r>
            <w:r w:rsidR="004124D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 w:rsidR="00E772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сорта кукурузы в </w:t>
            </w:r>
            <w:r w:rsidRPr="009502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Красноярском кра</w:t>
            </w:r>
            <w:r w:rsidR="00E772B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</w:t>
            </w:r>
          </w:p>
        </w:tc>
      </w:tr>
    </w:tbl>
    <w:p w:rsidR="00B113B9" w:rsidRPr="00950268" w:rsidRDefault="005F6344" w:rsidP="009502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C186B">
        <w:rPr>
          <w:rFonts w:ascii="Times New Roman" w:hAnsi="Times New Roman" w:cs="Times New Roman"/>
          <w:sz w:val="26"/>
          <w:szCs w:val="26"/>
        </w:rPr>
        <w:t xml:space="preserve">В течение последних 5 лет </w:t>
      </w:r>
      <w:r w:rsidR="00CC186B" w:rsidRPr="00CC186B">
        <w:rPr>
          <w:rFonts w:ascii="Times New Roman" w:hAnsi="Times New Roman" w:cs="Times New Roman"/>
          <w:sz w:val="26"/>
          <w:szCs w:val="26"/>
        </w:rPr>
        <w:t>повышение температурного фона</w:t>
      </w:r>
      <w:r w:rsidR="007D5DB6" w:rsidRPr="00CC186B">
        <w:rPr>
          <w:rFonts w:ascii="Times New Roman" w:hAnsi="Times New Roman" w:cs="Times New Roman"/>
          <w:sz w:val="26"/>
          <w:szCs w:val="26"/>
        </w:rPr>
        <w:t xml:space="preserve"> вегетационного периода, а также активная сортовая селекция кукурузы в направлении устойчивости к неблагоприятным погодным условиям позво</w:t>
      </w:r>
      <w:r w:rsidRPr="00CC186B">
        <w:rPr>
          <w:rFonts w:ascii="Times New Roman" w:hAnsi="Times New Roman" w:cs="Times New Roman"/>
          <w:sz w:val="26"/>
          <w:szCs w:val="26"/>
        </w:rPr>
        <w:t>лили использовать культуру</w:t>
      </w:r>
      <w:r w:rsidR="007D5DB6" w:rsidRPr="00CC186B">
        <w:rPr>
          <w:rFonts w:ascii="Times New Roman" w:hAnsi="Times New Roman" w:cs="Times New Roman"/>
          <w:sz w:val="26"/>
          <w:szCs w:val="26"/>
        </w:rPr>
        <w:t xml:space="preserve"> не только для силосования, но и получать </w:t>
      </w:r>
      <w:r w:rsidRPr="00CC186B">
        <w:rPr>
          <w:rFonts w:ascii="Times New Roman" w:hAnsi="Times New Roman" w:cs="Times New Roman"/>
          <w:sz w:val="26"/>
          <w:szCs w:val="26"/>
        </w:rPr>
        <w:t xml:space="preserve">в южных районах региона </w:t>
      </w:r>
      <w:r w:rsidR="007D5DB6" w:rsidRPr="00CC186B">
        <w:rPr>
          <w:rFonts w:ascii="Times New Roman" w:hAnsi="Times New Roman" w:cs="Times New Roman"/>
          <w:sz w:val="26"/>
          <w:szCs w:val="26"/>
        </w:rPr>
        <w:t xml:space="preserve">вызревшие початки. </w:t>
      </w:r>
      <w:r w:rsidRPr="00CC186B">
        <w:rPr>
          <w:rFonts w:ascii="Times New Roman" w:hAnsi="Times New Roman" w:cs="Times New Roman"/>
          <w:sz w:val="26"/>
          <w:szCs w:val="26"/>
        </w:rPr>
        <w:t>К</w:t>
      </w:r>
      <w:r w:rsidR="009045CC" w:rsidRPr="00CC186B">
        <w:rPr>
          <w:rFonts w:ascii="Times New Roman" w:hAnsi="Times New Roman" w:cs="Times New Roman"/>
          <w:sz w:val="26"/>
          <w:szCs w:val="26"/>
        </w:rPr>
        <w:t>укурузные площади увеличились на 40%, из них более 10% занимают посевы культуры на зерно.</w:t>
      </w:r>
      <w:r w:rsidR="006F0760" w:rsidRPr="00CC186B">
        <w:rPr>
          <w:rFonts w:ascii="Times New Roman" w:hAnsi="Times New Roman" w:cs="Times New Roman"/>
          <w:sz w:val="26"/>
          <w:szCs w:val="26"/>
        </w:rPr>
        <w:t xml:space="preserve"> Высевается более 2,5 тыс. т семян культуры 13 сортов</w:t>
      </w:r>
      <w:r w:rsidR="00FE581B" w:rsidRPr="00CC186B">
        <w:rPr>
          <w:rFonts w:ascii="Times New Roman" w:hAnsi="Times New Roman" w:cs="Times New Roman"/>
          <w:sz w:val="26"/>
          <w:szCs w:val="26"/>
        </w:rPr>
        <w:t xml:space="preserve"> </w:t>
      </w:r>
      <w:r w:rsidR="00950268" w:rsidRPr="00CC186B">
        <w:rPr>
          <w:rFonts w:ascii="Times New Roman" w:hAnsi="Times New Roman" w:cs="Times New Roman"/>
          <w:sz w:val="26"/>
          <w:szCs w:val="26"/>
        </w:rPr>
        <w:t>(Р</w:t>
      </w:r>
      <w:r w:rsidR="00FE581B" w:rsidRPr="00CC186B">
        <w:rPr>
          <w:rFonts w:ascii="Times New Roman" w:hAnsi="Times New Roman" w:cs="Times New Roman"/>
          <w:sz w:val="26"/>
          <w:szCs w:val="26"/>
        </w:rPr>
        <w:t xml:space="preserve">ис. 1). </w:t>
      </w:r>
      <w:r w:rsidR="006F0760" w:rsidRPr="00CC186B">
        <w:rPr>
          <w:rFonts w:ascii="Times New Roman" w:hAnsi="Times New Roman" w:cs="Times New Roman"/>
          <w:sz w:val="26"/>
          <w:szCs w:val="26"/>
        </w:rPr>
        <w:t>В 2020 году хозяйства Краснотуранского (АО «Тубинск», АО Племзавод «Краснотуранский») и Минусинского (ЗАО «Искра Ленина») намолотили порядка 30 ц/га зерна кукурузы</w:t>
      </w:r>
      <w:r w:rsidR="006F0760" w:rsidRPr="00950268">
        <w:rPr>
          <w:rFonts w:ascii="Times New Roman" w:hAnsi="Times New Roman" w:cs="Times New Roman"/>
          <w:sz w:val="27"/>
          <w:szCs w:val="27"/>
        </w:rPr>
        <w:t xml:space="preserve">. </w:t>
      </w:r>
    </w:p>
    <w:sectPr w:rsidR="00B113B9" w:rsidRPr="00950268" w:rsidSect="00CC18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C56230"/>
    <w:rsid w:val="00021AC9"/>
    <w:rsid w:val="00024313"/>
    <w:rsid w:val="001B68FA"/>
    <w:rsid w:val="001F5DDA"/>
    <w:rsid w:val="002C671F"/>
    <w:rsid w:val="00313B72"/>
    <w:rsid w:val="003D6E69"/>
    <w:rsid w:val="004124D3"/>
    <w:rsid w:val="005F6344"/>
    <w:rsid w:val="006F0760"/>
    <w:rsid w:val="007D5DB6"/>
    <w:rsid w:val="0085235F"/>
    <w:rsid w:val="008B2991"/>
    <w:rsid w:val="009045CC"/>
    <w:rsid w:val="00950268"/>
    <w:rsid w:val="00A83577"/>
    <w:rsid w:val="00AD10DD"/>
    <w:rsid w:val="00B113B9"/>
    <w:rsid w:val="00BE599C"/>
    <w:rsid w:val="00C56230"/>
    <w:rsid w:val="00CC186B"/>
    <w:rsid w:val="00CD2115"/>
    <w:rsid w:val="00E772B1"/>
    <w:rsid w:val="00EB7233"/>
    <w:rsid w:val="00FE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230"/>
    <w:pPr>
      <w:spacing w:after="0" w:line="240" w:lineRule="auto"/>
    </w:pPr>
  </w:style>
  <w:style w:type="table" w:styleId="a4">
    <w:name w:val="Table Grid"/>
    <w:basedOn w:val="a1"/>
    <w:uiPriority w:val="59"/>
    <w:rsid w:val="00024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10.4\&#1092;&#1072;&#1081;&#1083;&#1086;&#1086;&#1073;&#1084;&#1077;&#1085;&#1085;&#1080;&#1082;\&#1054;&#1090;&#1076;&#1077;&#1083;%20&#1079;&#1072;&#1097;&#1080;&#1090;&#1099;%20&#1088;&#1072;&#1089;&#1090;&#1077;&#1085;&#1080;&#1081;\&#1050;&#1091;&#1079;&#1085;&#1077;&#1094;&#1086;&#1074;&#1072;%20&#1048;&#1088;&#1080;&#1085;&#1072;%20&#1040;&#1085;&#1072;&#1090;&#1086;&#1083;&#1100;&#1077;&#1074;&#1085;&#1072;\&#1060;&#1080;&#1090;&#1086;&#1087;&#1072;&#1090;&#1086;&#1083;&#1086;&#1075;&#1080;&#1095;&#1077;&#1089;&#1082;&#1080;&#1081;%20&#1072;&#1085;&#1072;&#1083;&#1080;&#1079;%20&#1087;&#1086;&#1095;&#1074;&#1099;\&#1092;&#1080;&#1090;&#1086;&#1087;&#1072;&#1090;&#1086;&#1083;&#1086;&#1075;&#1080;&#1095;&#1077;&#1089;&#1082;&#1080;&#1081;%20&#1072;&#1085;&#1072;&#1083;&#1080;&#1079;%20&#1087;&#1086;&#1095;&#1074;&#1099;%20&#1074;%20&#1082;&#1088;&#1072;&#107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8.4723546174503922E-2"/>
          <c:y val="0.13156097611817608"/>
          <c:w val="0.41581728098891813"/>
          <c:h val="0.74838823405193455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1.8663604549431336E-3"/>
                  <c:y val="-7.1515018955963889E-3"/>
                </c:manualLayout>
              </c:layout>
              <c:showVal val="1"/>
            </c:dLbl>
            <c:dLbl>
              <c:idx val="1"/>
              <c:layout>
                <c:manualLayout>
                  <c:x val="2.544553805774279E-2"/>
                  <c:y val="-6.0560659084281142E-3"/>
                </c:manualLayout>
              </c:layout>
              <c:showVal val="1"/>
            </c:dLbl>
            <c:dLbl>
              <c:idx val="2"/>
              <c:layout>
                <c:manualLayout>
                  <c:x val="-7.1645013123359524E-2"/>
                  <c:y val="-0.25227653834937297"/>
                </c:manualLayout>
              </c:layout>
              <c:showVal val="1"/>
            </c:dLbl>
            <c:dLbl>
              <c:idx val="3"/>
              <c:layout>
                <c:manualLayout>
                  <c:x val="-3.0193132108486443E-2"/>
                  <c:y val="7.5286891221930607E-2"/>
                </c:manualLayout>
              </c:layout>
              <c:showVal val="1"/>
            </c:dLbl>
            <c:dLbl>
              <c:idx val="4"/>
              <c:layout>
                <c:manualLayout>
                  <c:x val="-2.1174321959755032E-2"/>
                  <c:y val="-1.0923374161563151E-2"/>
                </c:manualLayout>
              </c:layout>
              <c:showVal val="1"/>
            </c:dLbl>
            <c:dLbl>
              <c:idx val="5"/>
              <c:layout>
                <c:manualLayout>
                  <c:x val="9.0332458442694754E-4"/>
                  <c:y val="-3.8564450277048679E-3"/>
                </c:manualLayout>
              </c:layout>
              <c:showVal val="1"/>
            </c:dLbl>
            <c:dLbl>
              <c:idx val="6"/>
              <c:layout>
                <c:manualLayout>
                  <c:x val="-2.3041776027996522E-2"/>
                  <c:y val="1.5934674832312645E-2"/>
                </c:manualLayout>
              </c:layout>
              <c:showVal val="1"/>
            </c:dLbl>
            <c:dLbl>
              <c:idx val="7"/>
              <c:layout>
                <c:manualLayout>
                  <c:x val="-3.4098862642169774E-4"/>
                  <c:y val="-9.4043452901720666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'график (2)'!$A$3:$A$10</c:f>
              <c:strCache>
                <c:ptCount val="8"/>
                <c:pt idx="0">
                  <c:v>Катерина СВ</c:v>
                </c:pt>
                <c:pt idx="1">
                  <c:v>Краснодарский  194 МВ</c:v>
                </c:pt>
                <c:pt idx="2">
                  <c:v>Кубанский 101 СВ</c:v>
                </c:pt>
                <c:pt idx="3">
                  <c:v>Машук 150 МВ</c:v>
                </c:pt>
                <c:pt idx="4">
                  <c:v>Нур</c:v>
                </c:pt>
                <c:pt idx="5">
                  <c:v>РОСС 130 МВ</c:v>
                </c:pt>
                <c:pt idx="6">
                  <c:v>РОСС 140 СВ</c:v>
                </c:pt>
                <c:pt idx="7">
                  <c:v>Прочие </c:v>
                </c:pt>
              </c:strCache>
            </c:strRef>
          </c:cat>
          <c:val>
            <c:numRef>
              <c:f>'график (2)'!$B$3:$B$10</c:f>
              <c:numCache>
                <c:formatCode>0%</c:formatCode>
                <c:ptCount val="8"/>
                <c:pt idx="0">
                  <c:v>4.0000000000000008E-2</c:v>
                </c:pt>
                <c:pt idx="1">
                  <c:v>1.0000000000000002E-2</c:v>
                </c:pt>
                <c:pt idx="2">
                  <c:v>0.78</c:v>
                </c:pt>
                <c:pt idx="3">
                  <c:v>2.0000000000000004E-2</c:v>
                </c:pt>
                <c:pt idx="4">
                  <c:v>1.0000000000000002E-2</c:v>
                </c:pt>
                <c:pt idx="5">
                  <c:v>7.0000000000000021E-2</c:v>
                </c:pt>
                <c:pt idx="6">
                  <c:v>5.000000000000001E-2</c:v>
                </c:pt>
                <c:pt idx="7">
                  <c:v>2.0000000000000004E-2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50911626122254117"/>
          <c:y val="5.1192038495188108E-2"/>
          <c:w val="0.47421729871435214"/>
          <c:h val="0.82718628916013159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E8900-F843-4254-B8FD-82C18262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Защита</dc:creator>
  <cp:lastModifiedBy>Андрей Владимирович Краснощеков</cp:lastModifiedBy>
  <cp:revision>2</cp:revision>
  <cp:lastPrinted>2021-01-25T06:20:00Z</cp:lastPrinted>
  <dcterms:created xsi:type="dcterms:W3CDTF">2021-01-26T01:23:00Z</dcterms:created>
  <dcterms:modified xsi:type="dcterms:W3CDTF">2021-01-26T01:23:00Z</dcterms:modified>
</cp:coreProperties>
</file>