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BE" w:rsidRPr="00867289" w:rsidRDefault="00C94CA7" w:rsidP="00DA2D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289">
        <w:rPr>
          <w:rFonts w:ascii="Times New Roman" w:hAnsi="Times New Roman" w:cs="Times New Roman"/>
          <w:b/>
          <w:sz w:val="28"/>
          <w:szCs w:val="28"/>
        </w:rPr>
        <w:t>Красноярские аграрии готовятся к посевной</w:t>
      </w:r>
      <w:r w:rsidR="00D30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C58" w:rsidRPr="00867289">
        <w:rPr>
          <w:rFonts w:ascii="Times New Roman" w:hAnsi="Times New Roman" w:cs="Times New Roman"/>
          <w:b/>
          <w:sz w:val="28"/>
          <w:szCs w:val="28"/>
        </w:rPr>
        <w:t xml:space="preserve">кампании </w:t>
      </w:r>
      <w:r w:rsidR="00895EA0" w:rsidRPr="00867289">
        <w:rPr>
          <w:rFonts w:ascii="Times New Roman" w:hAnsi="Times New Roman" w:cs="Times New Roman"/>
          <w:b/>
          <w:sz w:val="28"/>
          <w:szCs w:val="28"/>
        </w:rPr>
        <w:t>2020 года</w:t>
      </w:r>
    </w:p>
    <w:p w:rsidR="00E25C58" w:rsidRPr="00867289" w:rsidRDefault="00E25C58" w:rsidP="00DA2D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5C58" w:rsidRDefault="00E25C58" w:rsidP="007B59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289">
        <w:rPr>
          <w:rFonts w:ascii="Times New Roman" w:hAnsi="Times New Roman" w:cs="Times New Roman"/>
          <w:sz w:val="28"/>
          <w:szCs w:val="28"/>
        </w:rPr>
        <w:t>Руководитель филиала ФГБУ «Россельхозцентр» по Красноярскому краю А.В. Малинников, начальник отдела семеноводства Е.В. Васильева и начальники районных и межрайонных отделов филиала  приняли участие в</w:t>
      </w:r>
      <w:r w:rsidR="00D30144">
        <w:rPr>
          <w:rFonts w:ascii="Times New Roman" w:hAnsi="Times New Roman" w:cs="Times New Roman"/>
          <w:sz w:val="28"/>
          <w:szCs w:val="28"/>
        </w:rPr>
        <w:t xml:space="preserve"> </w:t>
      </w:r>
      <w:r w:rsidR="004D405F">
        <w:rPr>
          <w:rFonts w:ascii="Times New Roman" w:hAnsi="Times New Roman" w:cs="Times New Roman"/>
          <w:sz w:val="28"/>
          <w:szCs w:val="28"/>
        </w:rPr>
        <w:t xml:space="preserve">зональных </w:t>
      </w:r>
      <w:r w:rsidRPr="00895EA0">
        <w:rPr>
          <w:rFonts w:ascii="Times New Roman" w:hAnsi="Times New Roman" w:cs="Times New Roman"/>
          <w:sz w:val="28"/>
          <w:szCs w:val="28"/>
        </w:rPr>
        <w:t>совещани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867289">
        <w:rPr>
          <w:rFonts w:ascii="Times New Roman" w:hAnsi="Times New Roman" w:cs="Times New Roman"/>
          <w:sz w:val="28"/>
          <w:szCs w:val="28"/>
        </w:rPr>
        <w:t xml:space="preserve">, организованных </w:t>
      </w:r>
      <w:r w:rsidR="00FA40E5">
        <w:rPr>
          <w:rFonts w:ascii="Times New Roman" w:hAnsi="Times New Roman" w:cs="Times New Roman"/>
          <w:sz w:val="28"/>
          <w:szCs w:val="28"/>
        </w:rPr>
        <w:t>М</w:t>
      </w:r>
      <w:r w:rsidR="00867289">
        <w:rPr>
          <w:rFonts w:ascii="Times New Roman" w:hAnsi="Times New Roman" w:cs="Times New Roman"/>
          <w:sz w:val="28"/>
          <w:szCs w:val="28"/>
        </w:rPr>
        <w:t>инистерством сельского хозяйства и торговли Красноярского края по подготовке аграриев к проведению весенне-полевых работ.</w:t>
      </w:r>
      <w:r w:rsidR="00D30144">
        <w:rPr>
          <w:rFonts w:ascii="Times New Roman" w:hAnsi="Times New Roman" w:cs="Times New Roman"/>
          <w:sz w:val="28"/>
          <w:szCs w:val="28"/>
        </w:rPr>
        <w:t xml:space="preserve"> </w:t>
      </w:r>
      <w:r w:rsidR="00867289" w:rsidRPr="004D405F">
        <w:rPr>
          <w:rFonts w:ascii="Times New Roman" w:hAnsi="Times New Roman" w:cs="Times New Roman"/>
          <w:sz w:val="28"/>
          <w:szCs w:val="28"/>
        </w:rPr>
        <w:t>В мероприятии приняли участие представители ведомства, начальники управлений и отделов сельского хозяйства администраций районови агрохимических служб региона.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6"/>
      </w:tblGrid>
      <w:tr w:rsidR="00E25C58" w:rsidTr="00DA0D15">
        <w:tc>
          <w:tcPr>
            <w:tcW w:w="5286" w:type="dxa"/>
          </w:tcPr>
          <w:p w:rsidR="00E25C58" w:rsidRDefault="00CC7D7B" w:rsidP="00867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33310" cy="1962150"/>
                  <wp:effectExtent l="19050" t="0" r="5190" b="0"/>
                  <wp:docPr id="1" name="Рисунок 1" descr="\\192.168.10.4\файлообменник\Администрация\Малахова Зинаида Васильевна\для сайта\2020 год\предзональное совещание 21-24.01.2020\IMG_20200124_1232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Администрация\Малахова Зинаида Васильевна\для сайта\2020 год\предзональное совещание 21-24.01.2020\IMG_20200124_1232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6415" t="17086" b="7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331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C58" w:rsidTr="00DA0D15">
        <w:tc>
          <w:tcPr>
            <w:tcW w:w="5286" w:type="dxa"/>
          </w:tcPr>
          <w:p w:rsidR="00E25C58" w:rsidRDefault="00E25C58" w:rsidP="00867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F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 Участники совещания</w:t>
            </w:r>
          </w:p>
        </w:tc>
      </w:tr>
    </w:tbl>
    <w:p w:rsidR="00867289" w:rsidRDefault="00867289" w:rsidP="007B5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охвата всех зон территорий края совещание проводилось 3 дня по группам районов. </w:t>
      </w:r>
      <w:r w:rsidR="004D405F" w:rsidRPr="004D405F">
        <w:rPr>
          <w:rFonts w:ascii="Times New Roman" w:hAnsi="Times New Roman" w:cs="Times New Roman"/>
          <w:sz w:val="28"/>
          <w:szCs w:val="28"/>
        </w:rPr>
        <w:t xml:space="preserve">В формате «живого» диалога обсудили формирование структуры посевных площадей, подготовку пашни и посевного материала, планы по приобретению минеральных </w:t>
      </w:r>
      <w:r w:rsidR="00280C4F">
        <w:rPr>
          <w:rFonts w:ascii="Times New Roman" w:hAnsi="Times New Roman" w:cs="Times New Roman"/>
          <w:sz w:val="28"/>
          <w:szCs w:val="28"/>
        </w:rPr>
        <w:t>удобрений</w:t>
      </w:r>
      <w:r w:rsidR="00344721">
        <w:rPr>
          <w:rFonts w:ascii="Times New Roman" w:hAnsi="Times New Roman" w:cs="Times New Roman"/>
          <w:sz w:val="28"/>
          <w:szCs w:val="28"/>
        </w:rPr>
        <w:t xml:space="preserve">, </w:t>
      </w:r>
      <w:r w:rsidR="00280C4F" w:rsidRPr="00895EA0">
        <w:rPr>
          <w:rFonts w:ascii="Times New Roman" w:hAnsi="Times New Roman" w:cs="Times New Roman"/>
          <w:sz w:val="28"/>
          <w:szCs w:val="28"/>
        </w:rPr>
        <w:t>недостающих семян и семян высших репродукций для сортосмены и сортообновления</w:t>
      </w:r>
      <w:r w:rsidR="00280C4F">
        <w:rPr>
          <w:rFonts w:ascii="Times New Roman" w:hAnsi="Times New Roman" w:cs="Times New Roman"/>
          <w:sz w:val="28"/>
          <w:szCs w:val="28"/>
        </w:rPr>
        <w:t>,</w:t>
      </w:r>
      <w:r w:rsidR="004D405F" w:rsidRPr="004D405F">
        <w:rPr>
          <w:rFonts w:ascii="Times New Roman" w:hAnsi="Times New Roman" w:cs="Times New Roman"/>
          <w:sz w:val="28"/>
          <w:szCs w:val="28"/>
        </w:rPr>
        <w:t xml:space="preserve"> изменения в предоставлении господдержки в растениеводстве и животноводстве</w:t>
      </w:r>
      <w:r w:rsidR="004D40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5919" w:rsidRDefault="004D405F" w:rsidP="007B59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</w:t>
      </w:r>
      <w:r w:rsidR="00280C4F">
        <w:rPr>
          <w:rFonts w:ascii="Times New Roman" w:hAnsi="Times New Roman" w:cs="Times New Roman"/>
          <w:sz w:val="28"/>
          <w:szCs w:val="28"/>
        </w:rPr>
        <w:t xml:space="preserve"> совещаний специалистами филиала ФГБУ «Россельхозцентр» по Красноярскому краю была подготовлена подробная информация о качестве семенного материала. </w:t>
      </w:r>
      <w:r w:rsidR="0017296F">
        <w:rPr>
          <w:rFonts w:ascii="Times New Roman" w:hAnsi="Times New Roman" w:cs="Times New Roman"/>
          <w:sz w:val="28"/>
          <w:szCs w:val="28"/>
        </w:rPr>
        <w:t>О</w:t>
      </w:r>
      <w:r w:rsidR="00280C4F">
        <w:rPr>
          <w:rFonts w:ascii="Times New Roman" w:hAnsi="Times New Roman" w:cs="Times New Roman"/>
          <w:sz w:val="28"/>
          <w:szCs w:val="28"/>
        </w:rPr>
        <w:t>беспеченность семенами в крае состав</w:t>
      </w:r>
      <w:r w:rsidR="0017296F">
        <w:rPr>
          <w:rFonts w:ascii="Times New Roman" w:hAnsi="Times New Roman" w:cs="Times New Roman"/>
          <w:sz w:val="28"/>
          <w:szCs w:val="28"/>
        </w:rPr>
        <w:t>ляет 98%, о</w:t>
      </w:r>
      <w:r w:rsidR="00280C4F">
        <w:rPr>
          <w:rFonts w:ascii="Times New Roman" w:hAnsi="Times New Roman" w:cs="Times New Roman"/>
          <w:sz w:val="28"/>
          <w:szCs w:val="28"/>
        </w:rPr>
        <w:t>коло 2 % планируется закупать</w:t>
      </w:r>
      <w:r w:rsidR="00CC7D7B">
        <w:rPr>
          <w:rFonts w:ascii="Times New Roman" w:hAnsi="Times New Roman" w:cs="Times New Roman"/>
          <w:sz w:val="28"/>
          <w:szCs w:val="28"/>
        </w:rPr>
        <w:t xml:space="preserve"> </w:t>
      </w:r>
      <w:r w:rsidR="00280C4F">
        <w:rPr>
          <w:rFonts w:ascii="Times New Roman" w:hAnsi="Times New Roman" w:cs="Times New Roman"/>
          <w:sz w:val="28"/>
          <w:szCs w:val="28"/>
        </w:rPr>
        <w:t>семян высших репродукций</w:t>
      </w:r>
      <w:r w:rsidR="0017296F">
        <w:rPr>
          <w:rFonts w:ascii="Times New Roman" w:hAnsi="Times New Roman" w:cs="Times New Roman"/>
          <w:sz w:val="28"/>
          <w:szCs w:val="28"/>
        </w:rPr>
        <w:t>.</w:t>
      </w:r>
      <w:r w:rsidR="00CC7D7B">
        <w:rPr>
          <w:rFonts w:ascii="Times New Roman" w:hAnsi="Times New Roman" w:cs="Times New Roman"/>
          <w:sz w:val="28"/>
          <w:szCs w:val="28"/>
        </w:rPr>
        <w:t xml:space="preserve"> </w:t>
      </w:r>
      <w:r w:rsidR="0017296F">
        <w:rPr>
          <w:rFonts w:ascii="Times New Roman" w:hAnsi="Times New Roman" w:cs="Times New Roman"/>
          <w:sz w:val="28"/>
          <w:szCs w:val="28"/>
        </w:rPr>
        <w:t xml:space="preserve">Специалистами районных и межрайонных отделов проверено 145,5 тыс. тонн </w:t>
      </w:r>
      <w:r w:rsidR="001C302E">
        <w:rPr>
          <w:rFonts w:ascii="Times New Roman" w:hAnsi="Times New Roman" w:cs="Times New Roman"/>
          <w:sz w:val="28"/>
          <w:szCs w:val="28"/>
        </w:rPr>
        <w:t xml:space="preserve">семян </w:t>
      </w:r>
      <w:r w:rsidR="00255AC2" w:rsidRPr="00255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яровых зерновых, зернобобовых и крупяных культур</w:t>
      </w:r>
      <w:r w:rsidR="009D5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C7D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49A3" w:rsidRPr="004C4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состав</w:t>
      </w:r>
      <w:r w:rsidR="004C4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ляет</w:t>
      </w:r>
      <w:r w:rsidR="00CC7D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4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62</w:t>
      </w:r>
      <w:r w:rsidR="004C49A3" w:rsidRPr="004C4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от засыпанных семян, предназначенных для посева в 2020 году. По результатам проверки </w:t>
      </w:r>
      <w:r w:rsidR="004C49A3">
        <w:rPr>
          <w:rFonts w:ascii="Times New Roman" w:hAnsi="Times New Roman" w:cs="Times New Roman"/>
          <w:sz w:val="28"/>
          <w:szCs w:val="28"/>
        </w:rPr>
        <w:t>105,8 тыс. тонн</w:t>
      </w:r>
      <w:r w:rsidR="004C49A3" w:rsidRPr="004C4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тонн (</w:t>
      </w:r>
      <w:r w:rsidR="004C4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73</w:t>
      </w:r>
      <w:r w:rsidR="004C49A3" w:rsidRPr="004C4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%) семян в крае соответствуют требованиям стандарта. </w:t>
      </w:r>
      <w:proofErr w:type="gramStart"/>
      <w:r w:rsidR="004C49A3" w:rsidRPr="004C4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 же время</w:t>
      </w:r>
      <w:r w:rsidR="00D30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296F">
        <w:rPr>
          <w:rFonts w:ascii="Times New Roman" w:hAnsi="Times New Roman" w:cs="Times New Roman"/>
          <w:sz w:val="28"/>
          <w:szCs w:val="28"/>
        </w:rPr>
        <w:t>24%</w:t>
      </w:r>
      <w:r w:rsidR="00CE518F">
        <w:rPr>
          <w:rFonts w:ascii="Times New Roman" w:hAnsi="Times New Roman" w:cs="Times New Roman"/>
          <w:sz w:val="28"/>
          <w:szCs w:val="28"/>
        </w:rPr>
        <w:t xml:space="preserve"> семян</w:t>
      </w:r>
      <w:r w:rsidR="00D05F0C">
        <w:rPr>
          <w:rFonts w:ascii="Times New Roman" w:hAnsi="Times New Roman" w:cs="Times New Roman"/>
          <w:sz w:val="28"/>
          <w:szCs w:val="28"/>
        </w:rPr>
        <w:t xml:space="preserve"> в крае</w:t>
      </w:r>
      <w:r w:rsidR="0017296F">
        <w:rPr>
          <w:rFonts w:ascii="Times New Roman" w:hAnsi="Times New Roman" w:cs="Times New Roman"/>
          <w:sz w:val="28"/>
          <w:szCs w:val="28"/>
        </w:rPr>
        <w:t xml:space="preserve"> </w:t>
      </w:r>
      <w:r w:rsidR="00D30144">
        <w:rPr>
          <w:rFonts w:ascii="Times New Roman" w:hAnsi="Times New Roman" w:cs="Times New Roman"/>
          <w:sz w:val="28"/>
          <w:szCs w:val="28"/>
        </w:rPr>
        <w:t>-</w:t>
      </w:r>
      <w:r w:rsidR="0017296F">
        <w:rPr>
          <w:rFonts w:ascii="Times New Roman" w:hAnsi="Times New Roman" w:cs="Times New Roman"/>
          <w:sz w:val="28"/>
          <w:szCs w:val="28"/>
        </w:rPr>
        <w:t xml:space="preserve"> некондиционны по засоренности</w:t>
      </w:r>
      <w:r w:rsidR="00D30144">
        <w:rPr>
          <w:rFonts w:ascii="Times New Roman" w:hAnsi="Times New Roman" w:cs="Times New Roman"/>
          <w:sz w:val="28"/>
          <w:szCs w:val="28"/>
        </w:rPr>
        <w:t xml:space="preserve"> </w:t>
      </w:r>
      <w:r w:rsidR="0017296F">
        <w:rPr>
          <w:rFonts w:ascii="Times New Roman" w:hAnsi="Times New Roman" w:cs="Times New Roman"/>
          <w:sz w:val="28"/>
          <w:szCs w:val="28"/>
        </w:rPr>
        <w:t xml:space="preserve">и 7% </w:t>
      </w:r>
      <w:r w:rsidR="00CE518F">
        <w:rPr>
          <w:rFonts w:ascii="Times New Roman" w:hAnsi="Times New Roman" w:cs="Times New Roman"/>
          <w:sz w:val="28"/>
          <w:szCs w:val="28"/>
        </w:rPr>
        <w:t xml:space="preserve">- </w:t>
      </w:r>
      <w:r w:rsidR="0017296F">
        <w:rPr>
          <w:rFonts w:ascii="Times New Roman" w:hAnsi="Times New Roman" w:cs="Times New Roman"/>
          <w:sz w:val="28"/>
          <w:szCs w:val="28"/>
        </w:rPr>
        <w:t>по всхожести.</w:t>
      </w:r>
      <w:proofErr w:type="gramEnd"/>
    </w:p>
    <w:p w:rsidR="00310E17" w:rsidRDefault="00310E17" w:rsidP="00310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восточной группе из 75% проверенных семян, 81% соответствует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>. 19% некондиционных семян подлежат повторной очистке.</w:t>
      </w:r>
    </w:p>
    <w:p w:rsidR="00310E17" w:rsidRDefault="00310E17" w:rsidP="007B59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919" w:rsidRDefault="007B5919" w:rsidP="007B59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B5919" w:rsidSect="00CE518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55AC2" w:rsidRPr="007B5919" w:rsidRDefault="00255AC2" w:rsidP="00DA2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25"/>
      </w:tblGrid>
      <w:tr w:rsidR="00D05F0C" w:rsidTr="007B5919">
        <w:tc>
          <w:tcPr>
            <w:tcW w:w="14992" w:type="dxa"/>
          </w:tcPr>
          <w:p w:rsidR="00D05F0C" w:rsidRDefault="00255AC2" w:rsidP="00E5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AC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906000" cy="5448300"/>
                  <wp:effectExtent l="0" t="0" r="0" b="0"/>
                  <wp:docPr id="11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D05F0C" w:rsidTr="007B5919">
        <w:tc>
          <w:tcPr>
            <w:tcW w:w="14992" w:type="dxa"/>
          </w:tcPr>
          <w:p w:rsidR="00D05F0C" w:rsidRPr="007B5919" w:rsidRDefault="007B5919" w:rsidP="00E575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br/>
            </w:r>
            <w:r w:rsidR="00DA0D15" w:rsidRPr="00464B9D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Рис.1 Объем проверенных и кондиционных семян зерновых, зернобобовых и крупяных культур под посев 2020 г. в разрезе районов</w:t>
            </w:r>
          </w:p>
        </w:tc>
      </w:tr>
    </w:tbl>
    <w:p w:rsidR="00E5751E" w:rsidRDefault="00DA2DFB" w:rsidP="00E57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B5919" w:rsidRDefault="007B5919" w:rsidP="00DA2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B5919" w:rsidSect="007B5919">
          <w:pgSz w:w="16838" w:h="11906" w:orient="landscape"/>
          <w:pgMar w:top="1418" w:right="678" w:bottom="709" w:left="851" w:header="709" w:footer="709" w:gutter="0"/>
          <w:cols w:space="708"/>
          <w:docGrid w:linePitch="360"/>
        </w:sectPr>
      </w:pPr>
    </w:p>
    <w:p w:rsidR="00DA2DFB" w:rsidRDefault="00DA2DFB" w:rsidP="00310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центральной группе районов проверено 73% семян из них кондиционных 55%. Некондиционны сем</w:t>
      </w:r>
      <w:r w:rsidR="00344721">
        <w:rPr>
          <w:rFonts w:ascii="Times New Roman" w:hAnsi="Times New Roman" w:cs="Times New Roman"/>
          <w:sz w:val="28"/>
          <w:szCs w:val="28"/>
        </w:rPr>
        <w:t>ена в основном по чистоте - 40%.</w:t>
      </w:r>
      <w:r w:rsidR="00D30144">
        <w:rPr>
          <w:rFonts w:ascii="Times New Roman" w:hAnsi="Times New Roman" w:cs="Times New Roman"/>
          <w:sz w:val="28"/>
          <w:szCs w:val="28"/>
        </w:rPr>
        <w:t xml:space="preserve"> </w:t>
      </w:r>
      <w:r w:rsidR="0034472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 есть и некондиционные партии по всх</w:t>
      </w:r>
      <w:r w:rsidR="00344721">
        <w:rPr>
          <w:rFonts w:ascii="Times New Roman" w:hAnsi="Times New Roman" w:cs="Times New Roman"/>
          <w:sz w:val="28"/>
          <w:szCs w:val="28"/>
        </w:rPr>
        <w:t>ожести, которые подлежат замене</w:t>
      </w:r>
      <w:r w:rsidR="00D30144">
        <w:rPr>
          <w:rFonts w:ascii="Times New Roman" w:hAnsi="Times New Roman" w:cs="Times New Roman"/>
          <w:sz w:val="28"/>
          <w:szCs w:val="28"/>
        </w:rPr>
        <w:t>,</w:t>
      </w:r>
      <w:r w:rsidR="00344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таких семян 15%. </w:t>
      </w:r>
    </w:p>
    <w:p w:rsidR="00DA2DFB" w:rsidRDefault="00DA2DFB" w:rsidP="00310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западной группе всего проверено 46% засыпанных семян, из них кондиционных - 77%. Некондиционны семена,в основном, по чистоте.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Самая сложная ситуация в Шарыповском районе, где 76% семян некондиционны по всхожести.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хозяйства имеют резервы собственных семян для замены таких партий. Часть семян будет приобретаться для сортообновления. </w:t>
      </w:r>
    </w:p>
    <w:p w:rsidR="00DA2DFB" w:rsidRDefault="00DA2DFB" w:rsidP="00310E17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южной группе районов проверено 63% семян, из которых 67% кондиционных, 11% не соответствуют</w:t>
      </w:r>
      <w:r w:rsidR="005473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по всхожести и подлежат замене.</w:t>
      </w:r>
    </w:p>
    <w:p w:rsidR="00C872C8" w:rsidRDefault="00DA2DFB" w:rsidP="00310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лучшая ситуация по северной группе районов, здесь проверено 92% семян и все </w:t>
      </w:r>
      <w:r w:rsidR="00310E17">
        <w:rPr>
          <w:rFonts w:ascii="Times New Roman" w:hAnsi="Times New Roman" w:cs="Times New Roman"/>
          <w:sz w:val="28"/>
          <w:szCs w:val="28"/>
        </w:rPr>
        <w:t>соответствуют требованиям ГОСТ.</w:t>
      </w:r>
    </w:p>
    <w:p w:rsidR="00AD205C" w:rsidRDefault="00344721" w:rsidP="00310E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721">
        <w:rPr>
          <w:rFonts w:ascii="Times New Roman" w:hAnsi="Times New Roman" w:cs="Times New Roman"/>
          <w:b/>
          <w:i/>
          <w:sz w:val="28"/>
          <w:szCs w:val="28"/>
        </w:rPr>
        <w:t>Для справки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872C8" w:rsidRPr="00895EA0">
        <w:rPr>
          <w:rFonts w:ascii="Times New Roman" w:hAnsi="Times New Roman" w:cs="Times New Roman"/>
          <w:sz w:val="28"/>
          <w:szCs w:val="28"/>
        </w:rPr>
        <w:t xml:space="preserve">В </w:t>
      </w:r>
      <w:r w:rsidR="00C872C8">
        <w:rPr>
          <w:rFonts w:ascii="Times New Roman" w:hAnsi="Times New Roman" w:cs="Times New Roman"/>
          <w:sz w:val="28"/>
          <w:szCs w:val="28"/>
        </w:rPr>
        <w:t>К</w:t>
      </w:r>
      <w:r w:rsidR="00C872C8" w:rsidRPr="00895EA0">
        <w:rPr>
          <w:rFonts w:ascii="Times New Roman" w:hAnsi="Times New Roman" w:cs="Times New Roman"/>
          <w:sz w:val="28"/>
          <w:szCs w:val="28"/>
        </w:rPr>
        <w:t>расн</w:t>
      </w:r>
      <w:r w:rsidR="00C872C8">
        <w:rPr>
          <w:rFonts w:ascii="Times New Roman" w:hAnsi="Times New Roman" w:cs="Times New Roman"/>
          <w:sz w:val="28"/>
          <w:szCs w:val="28"/>
        </w:rPr>
        <w:t xml:space="preserve">оярском крае </w:t>
      </w:r>
      <w:r>
        <w:rPr>
          <w:rFonts w:ascii="Times New Roman" w:hAnsi="Times New Roman" w:cs="Times New Roman"/>
          <w:sz w:val="28"/>
          <w:szCs w:val="28"/>
        </w:rPr>
        <w:t>сельскохозяйственными культурами</w:t>
      </w:r>
      <w:r w:rsidRPr="00344721">
        <w:rPr>
          <w:rFonts w:ascii="Times New Roman" w:hAnsi="Times New Roman" w:cs="Times New Roman"/>
          <w:sz w:val="28"/>
          <w:szCs w:val="28"/>
        </w:rPr>
        <w:t xml:space="preserve"> за</w:t>
      </w:r>
      <w:r w:rsidR="00C872C8" w:rsidRPr="00344721">
        <w:rPr>
          <w:rFonts w:ascii="Times New Roman" w:hAnsi="Times New Roman" w:cs="Times New Roman"/>
          <w:sz w:val="28"/>
          <w:szCs w:val="28"/>
        </w:rPr>
        <w:t>севается</w:t>
      </w:r>
      <w:r w:rsidR="00C872C8">
        <w:rPr>
          <w:rFonts w:ascii="Times New Roman" w:hAnsi="Times New Roman" w:cs="Times New Roman"/>
          <w:sz w:val="28"/>
          <w:szCs w:val="28"/>
        </w:rPr>
        <w:t xml:space="preserve"> порядка 1494,5 тыс. га</w:t>
      </w:r>
      <w:r w:rsidR="00C872C8" w:rsidRPr="00895EA0">
        <w:rPr>
          <w:rFonts w:ascii="Times New Roman" w:hAnsi="Times New Roman" w:cs="Times New Roman"/>
          <w:sz w:val="28"/>
          <w:szCs w:val="28"/>
        </w:rPr>
        <w:t xml:space="preserve">.  </w:t>
      </w:r>
      <w:r w:rsidR="00C872C8">
        <w:rPr>
          <w:rFonts w:ascii="Times New Roman" w:hAnsi="Times New Roman" w:cs="Times New Roman"/>
          <w:sz w:val="28"/>
          <w:szCs w:val="28"/>
        </w:rPr>
        <w:t xml:space="preserve">В основном это яровые зерновые и зернобобовые культуры, в 2019 году было высеяно 230,4 тыс. тонн семян  из них </w:t>
      </w:r>
      <w:r w:rsidR="00C872C8" w:rsidRPr="00E348D1">
        <w:rPr>
          <w:rFonts w:ascii="Times New Roman" w:hAnsi="Times New Roman" w:cs="Times New Roman"/>
          <w:sz w:val="28"/>
          <w:szCs w:val="28"/>
        </w:rPr>
        <w:t>сортовых - 91%.</w:t>
      </w:r>
      <w:r w:rsidR="00C872C8" w:rsidRPr="00895EA0">
        <w:rPr>
          <w:rFonts w:ascii="Times New Roman" w:hAnsi="Times New Roman" w:cs="Times New Roman"/>
          <w:sz w:val="28"/>
          <w:szCs w:val="28"/>
        </w:rPr>
        <w:t xml:space="preserve"> Преимущественно это сорта отечественной селекции</w:t>
      </w:r>
      <w:r w:rsidR="00C872C8">
        <w:rPr>
          <w:rFonts w:ascii="Times New Roman" w:hAnsi="Times New Roman" w:cs="Times New Roman"/>
          <w:sz w:val="28"/>
          <w:szCs w:val="28"/>
        </w:rPr>
        <w:t xml:space="preserve"> (99%)</w:t>
      </w:r>
      <w:r w:rsidR="00C872C8" w:rsidRPr="00895E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2C8" w:rsidRPr="00895EA0" w:rsidRDefault="00C872C8" w:rsidP="00AD20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5EA0">
        <w:rPr>
          <w:rFonts w:ascii="Times New Roman" w:hAnsi="Times New Roman" w:cs="Times New Roman"/>
          <w:sz w:val="28"/>
          <w:szCs w:val="28"/>
        </w:rPr>
        <w:t xml:space="preserve">Территория края очень разнообразна по своим климатическим зонам, поэтому в крае используют для посева большой ассортимент сортов.  Так пшеницы яровой высевается  всего 30 сортов, из них 4 сорта зарубежной селекции </w:t>
      </w:r>
      <w:r w:rsidRPr="002F67D6">
        <w:rPr>
          <w:rFonts w:ascii="Times New Roman" w:hAnsi="Times New Roman" w:cs="Times New Roman"/>
          <w:sz w:val="28"/>
          <w:szCs w:val="28"/>
        </w:rPr>
        <w:t>(0,2 %).</w:t>
      </w:r>
      <w:r w:rsidRPr="00895EA0">
        <w:rPr>
          <w:rFonts w:ascii="Times New Roman" w:hAnsi="Times New Roman" w:cs="Times New Roman"/>
          <w:sz w:val="28"/>
          <w:szCs w:val="28"/>
        </w:rPr>
        <w:t xml:space="preserve"> Из отечественных сортов лидируют сорта новосибирской и алтайской селекции. Овса всего 10 сортов, из них 1 </w:t>
      </w:r>
      <w:r w:rsidRPr="002F67D6">
        <w:rPr>
          <w:rFonts w:ascii="Times New Roman" w:hAnsi="Times New Roman" w:cs="Times New Roman"/>
          <w:sz w:val="28"/>
          <w:szCs w:val="28"/>
        </w:rPr>
        <w:t>(0,1 %)</w:t>
      </w:r>
      <w:r w:rsidRPr="00895EA0">
        <w:rPr>
          <w:rFonts w:ascii="Times New Roman" w:hAnsi="Times New Roman" w:cs="Times New Roman"/>
          <w:sz w:val="28"/>
          <w:szCs w:val="28"/>
        </w:rPr>
        <w:t xml:space="preserve"> зарубежный, лидирующие позиции держат много лет сорта </w:t>
      </w:r>
      <w:r w:rsidR="00344721">
        <w:rPr>
          <w:rFonts w:ascii="Times New Roman" w:hAnsi="Times New Roman" w:cs="Times New Roman"/>
          <w:sz w:val="28"/>
          <w:szCs w:val="28"/>
        </w:rPr>
        <w:t>красноярской</w:t>
      </w:r>
      <w:r w:rsidRPr="00895EA0">
        <w:rPr>
          <w:rFonts w:ascii="Times New Roman" w:hAnsi="Times New Roman" w:cs="Times New Roman"/>
          <w:sz w:val="28"/>
          <w:szCs w:val="28"/>
        </w:rPr>
        <w:t xml:space="preserve"> селекции. Ячменя высевается ежегодно порядка 14 сортов, в т.ч. 4 </w:t>
      </w:r>
      <w:r w:rsidRPr="002F67D6">
        <w:rPr>
          <w:rFonts w:ascii="Times New Roman" w:hAnsi="Times New Roman" w:cs="Times New Roman"/>
          <w:sz w:val="28"/>
          <w:szCs w:val="28"/>
        </w:rPr>
        <w:t>зарубежных (1,5 %)</w:t>
      </w:r>
      <w:r w:rsidRPr="00895EA0">
        <w:rPr>
          <w:rFonts w:ascii="Times New Roman" w:hAnsi="Times New Roman" w:cs="Times New Roman"/>
          <w:sz w:val="28"/>
          <w:szCs w:val="28"/>
        </w:rPr>
        <w:t xml:space="preserve">  и здесь снова лидируют сорта новосибирской селекции. Из 17 сортов гороха, 7- зарубежных </w:t>
      </w:r>
      <w:r w:rsidRPr="002F67D6">
        <w:rPr>
          <w:rFonts w:ascii="Times New Roman" w:hAnsi="Times New Roman" w:cs="Times New Roman"/>
          <w:sz w:val="28"/>
          <w:szCs w:val="28"/>
        </w:rPr>
        <w:t>(42 %),</w:t>
      </w:r>
      <w:r w:rsidRPr="00895EA0">
        <w:rPr>
          <w:rFonts w:ascii="Times New Roman" w:hAnsi="Times New Roman" w:cs="Times New Roman"/>
          <w:sz w:val="28"/>
          <w:szCs w:val="28"/>
        </w:rPr>
        <w:t xml:space="preserve"> наряду с семенами тюменской и красноярской селекций высеваются немецкие сорта (</w:t>
      </w:r>
      <w:proofErr w:type="spellStart"/>
      <w:r w:rsidRPr="00895EA0">
        <w:rPr>
          <w:rFonts w:ascii="Times New Roman" w:hAnsi="Times New Roman" w:cs="Times New Roman"/>
          <w:sz w:val="28"/>
          <w:szCs w:val="28"/>
        </w:rPr>
        <w:t>Рокет</w:t>
      </w:r>
      <w:proofErr w:type="spellEnd"/>
      <w:r w:rsidRPr="00895EA0">
        <w:rPr>
          <w:rFonts w:ascii="Times New Roman" w:hAnsi="Times New Roman" w:cs="Times New Roman"/>
          <w:sz w:val="28"/>
          <w:szCs w:val="28"/>
        </w:rPr>
        <w:t xml:space="preserve">, Ангела) и австралийский сорт Готик. Больший процент иностранных сортов высевается рапса ярового из 31 сорта и гибрида рапса 21 </w:t>
      </w:r>
      <w:r w:rsidRPr="002F67D6">
        <w:rPr>
          <w:rFonts w:ascii="Times New Roman" w:hAnsi="Times New Roman" w:cs="Times New Roman"/>
          <w:sz w:val="28"/>
          <w:szCs w:val="28"/>
        </w:rPr>
        <w:t>сорт (29 %)</w:t>
      </w:r>
      <w:r w:rsidRPr="00895EA0">
        <w:rPr>
          <w:rFonts w:ascii="Times New Roman" w:hAnsi="Times New Roman" w:cs="Times New Roman"/>
          <w:sz w:val="28"/>
          <w:szCs w:val="28"/>
        </w:rPr>
        <w:t xml:space="preserve"> зарубежной селекции.</w:t>
      </w:r>
    </w:p>
    <w:p w:rsidR="00895EA0" w:rsidRPr="00895EA0" w:rsidRDefault="00895EA0" w:rsidP="00C872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95EA0" w:rsidRPr="00895EA0" w:rsidSect="00CE51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4CA7"/>
    <w:rsid w:val="000F00BE"/>
    <w:rsid w:val="00127D2D"/>
    <w:rsid w:val="0017296F"/>
    <w:rsid w:val="00174DF3"/>
    <w:rsid w:val="001A5846"/>
    <w:rsid w:val="001C302E"/>
    <w:rsid w:val="00246658"/>
    <w:rsid w:val="00255AC2"/>
    <w:rsid w:val="00280C4F"/>
    <w:rsid w:val="002F67D6"/>
    <w:rsid w:val="00310E17"/>
    <w:rsid w:val="00344721"/>
    <w:rsid w:val="00435FAA"/>
    <w:rsid w:val="00464B9D"/>
    <w:rsid w:val="004C49A3"/>
    <w:rsid w:val="004D405F"/>
    <w:rsid w:val="004E0E98"/>
    <w:rsid w:val="004F4026"/>
    <w:rsid w:val="00530084"/>
    <w:rsid w:val="005473DC"/>
    <w:rsid w:val="00560D06"/>
    <w:rsid w:val="0056462D"/>
    <w:rsid w:val="00620746"/>
    <w:rsid w:val="00785D5B"/>
    <w:rsid w:val="007868C4"/>
    <w:rsid w:val="007B5919"/>
    <w:rsid w:val="00867289"/>
    <w:rsid w:val="00895EA0"/>
    <w:rsid w:val="00934BCB"/>
    <w:rsid w:val="00962806"/>
    <w:rsid w:val="009A0FAA"/>
    <w:rsid w:val="009D5493"/>
    <w:rsid w:val="00A0016E"/>
    <w:rsid w:val="00AA62E0"/>
    <w:rsid w:val="00AD205C"/>
    <w:rsid w:val="00AF3B4A"/>
    <w:rsid w:val="00B2377E"/>
    <w:rsid w:val="00BE5A28"/>
    <w:rsid w:val="00C40EC6"/>
    <w:rsid w:val="00C835CE"/>
    <w:rsid w:val="00C872C8"/>
    <w:rsid w:val="00C94CA7"/>
    <w:rsid w:val="00CC7D7B"/>
    <w:rsid w:val="00CE518F"/>
    <w:rsid w:val="00D05F0C"/>
    <w:rsid w:val="00D30144"/>
    <w:rsid w:val="00D45EB2"/>
    <w:rsid w:val="00D95FD1"/>
    <w:rsid w:val="00DA0D15"/>
    <w:rsid w:val="00DA2DFB"/>
    <w:rsid w:val="00E25C58"/>
    <w:rsid w:val="00E266A9"/>
    <w:rsid w:val="00E348D1"/>
    <w:rsid w:val="00E5751E"/>
    <w:rsid w:val="00EB5209"/>
    <w:rsid w:val="00FA4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B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92.168.10.4\&#1092;&#1072;&#1081;&#1083;&#1086;&#1086;&#1073;&#1084;&#1077;&#1085;&#1085;&#1080;&#1082;\&#1054;&#1090;&#1076;&#1077;&#1083;%20&#1089;&#1077;&#1084;&#1077;&#1085;&#1086;&#1074;&#1086;&#1076;&#1089;&#1090;&#1074;&#1072;\&#1051;&#1086;&#1087;&#1072;&#1090;&#1080;&#1085;&#1072;%20&#1054;&#1083;&#1100;&#1075;&#1072;%20&#1057;&#1077;&#1088;&#1075;&#1077;&#1077;&#1074;&#1085;&#1072;\&#1050;&#1072;&#1095;&#1077;&#1089;&#1090;&#1074;&#1086;%20&#1089;&#1077;&#1084;&#1103;&#1085;%20(&#1086;&#1087;&#1077;&#1088;&#1072;&#1090;&#1080;&#1074;&#1082;&#1072;)%20&#1089;%2010.2019&#1075;\&#1050;&#1040;&#1063;&#1045;&#1057;&#1058;&#1042;&#1054;%20&#1057;&#1045;&#1052;&#1071;&#1053;\&#1075;&#1088;&#1072;&#1092;&#1080;&#1082;&#1080;\&#1086;&#1073;&#1098;&#1077;&#1084;%20&#1087;&#1088;&#1086;&#1074;&#1077;&#1088;&#1077;&#1085;&#1085;&#1099;&#1093;%20&#1080;%20&#1082;&#1086;&#1085;&#1076;&#1080;&#1094;&#1080;&#1086;&#1085;&#1085;&#1099;&#1093;%20&#1089;&#1077;&#1084;&#1103;&#108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4.6415202907328902E-2"/>
          <c:y val="3.1739844605517063E-2"/>
          <c:w val="0.94254845548152644"/>
          <c:h val="0.70104601435310121"/>
        </c:manualLayout>
      </c:layout>
      <c:barChart>
        <c:barDir val="col"/>
        <c:grouping val="clustered"/>
        <c:ser>
          <c:idx val="0"/>
          <c:order val="0"/>
          <c:tx>
            <c:strRef>
              <c:f>'все районы (2)'!$B$2</c:f>
              <c:strCache>
                <c:ptCount val="1"/>
                <c:pt idx="0">
                  <c:v>объем проверенных семян, тыс. т</c:v>
                </c:pt>
              </c:strCache>
            </c:strRef>
          </c:tx>
          <c:spPr>
            <a:solidFill>
              <a:srgbClr val="FFC000"/>
            </a:solidFill>
          </c:spPr>
          <c:cat>
            <c:strRef>
              <c:f>'все районы (2)'!$A$5:$A$44</c:f>
              <c:strCache>
                <c:ptCount val="40"/>
                <c:pt idx="0">
                  <c:v>Абанский</c:v>
                </c:pt>
                <c:pt idx="1">
                  <c:v>Дзержинский </c:v>
                </c:pt>
                <c:pt idx="2">
                  <c:v>Иланский</c:v>
                </c:pt>
                <c:pt idx="3">
                  <c:v>Ирбейский </c:v>
                </c:pt>
                <c:pt idx="4">
                  <c:v>Канский</c:v>
                </c:pt>
                <c:pt idx="5">
                  <c:v>Н-Ингашский</c:v>
                </c:pt>
                <c:pt idx="6">
                  <c:v>Партизанский</c:v>
                </c:pt>
                <c:pt idx="7">
                  <c:v>Рыбинский</c:v>
                </c:pt>
                <c:pt idx="8">
                  <c:v>Саянский </c:v>
                </c:pt>
                <c:pt idx="9">
                  <c:v>Тасеевский</c:v>
                </c:pt>
                <c:pt idx="10">
                  <c:v>Уярский</c:v>
                </c:pt>
                <c:pt idx="12">
                  <c:v>Балахтинский</c:v>
                </c:pt>
                <c:pt idx="13">
                  <c:v>Б-Муртинский</c:v>
                </c:pt>
                <c:pt idx="14">
                  <c:v>Берёзовский</c:v>
                </c:pt>
                <c:pt idx="15">
                  <c:v>Емельяновский</c:v>
                </c:pt>
                <c:pt idx="16">
                  <c:v>Манский</c:v>
                </c:pt>
                <c:pt idx="17">
                  <c:v>Сухобузимский</c:v>
                </c:pt>
                <c:pt idx="19">
                  <c:v>Ачинский</c:v>
                </c:pt>
                <c:pt idx="20">
                  <c:v>Боготольский</c:v>
                </c:pt>
                <c:pt idx="21">
                  <c:v>Большеулуйский</c:v>
                </c:pt>
                <c:pt idx="22">
                  <c:v>Козульский </c:v>
                </c:pt>
                <c:pt idx="23">
                  <c:v>Назаровский</c:v>
                </c:pt>
                <c:pt idx="24">
                  <c:v>Новосёловский</c:v>
                </c:pt>
                <c:pt idx="25">
                  <c:v>Тюхтетский</c:v>
                </c:pt>
                <c:pt idx="26">
                  <c:v>Ужурский</c:v>
                </c:pt>
                <c:pt idx="27">
                  <c:v>Шарыповский</c:v>
                </c:pt>
                <c:pt idx="29">
                  <c:v>Ермаковский</c:v>
                </c:pt>
                <c:pt idx="30">
                  <c:v>Идринский </c:v>
                </c:pt>
                <c:pt idx="31">
                  <c:v>Каратузский </c:v>
                </c:pt>
                <c:pt idx="32">
                  <c:v>Краснотуранский</c:v>
                </c:pt>
                <c:pt idx="33">
                  <c:v>Курагинский</c:v>
                </c:pt>
                <c:pt idx="34">
                  <c:v>Минусинский</c:v>
                </c:pt>
                <c:pt idx="35">
                  <c:v> Шушенский</c:v>
                </c:pt>
                <c:pt idx="37">
                  <c:v>Енисейский</c:v>
                </c:pt>
                <c:pt idx="38">
                  <c:v>Казачинский</c:v>
                </c:pt>
                <c:pt idx="39">
                  <c:v>Пировский</c:v>
                </c:pt>
              </c:strCache>
            </c:strRef>
          </c:cat>
          <c:val>
            <c:numRef>
              <c:f>'все районы (2)'!$B$5:$B$44</c:f>
              <c:numCache>
                <c:formatCode>0.0</c:formatCode>
                <c:ptCount val="40"/>
                <c:pt idx="0">
                  <c:v>6.8269999999999973</c:v>
                </c:pt>
                <c:pt idx="1">
                  <c:v>5.6</c:v>
                </c:pt>
                <c:pt idx="2">
                  <c:v>2.0319999999999987</c:v>
                </c:pt>
                <c:pt idx="3">
                  <c:v>2.665</c:v>
                </c:pt>
                <c:pt idx="4">
                  <c:v>9.7779999999999987</c:v>
                </c:pt>
                <c:pt idx="5">
                  <c:v>4.6869999999999985</c:v>
                </c:pt>
                <c:pt idx="6">
                  <c:v>3.343</c:v>
                </c:pt>
                <c:pt idx="7">
                  <c:v>8.0422000000000011</c:v>
                </c:pt>
                <c:pt idx="8">
                  <c:v>1.2</c:v>
                </c:pt>
                <c:pt idx="9">
                  <c:v>4.5999999999999996</c:v>
                </c:pt>
                <c:pt idx="10">
                  <c:v>2.117</c:v>
                </c:pt>
                <c:pt idx="12">
                  <c:v>17.439999999999991</c:v>
                </c:pt>
                <c:pt idx="13">
                  <c:v>2.488</c:v>
                </c:pt>
                <c:pt idx="14">
                  <c:v>0.57500000000000029</c:v>
                </c:pt>
                <c:pt idx="15">
                  <c:v>3.01</c:v>
                </c:pt>
                <c:pt idx="16">
                  <c:v>0.83200000000000029</c:v>
                </c:pt>
                <c:pt idx="17">
                  <c:v>4</c:v>
                </c:pt>
                <c:pt idx="19">
                  <c:v>0.5</c:v>
                </c:pt>
                <c:pt idx="20">
                  <c:v>1.972</c:v>
                </c:pt>
                <c:pt idx="21">
                  <c:v>0.15200000000000008</c:v>
                </c:pt>
                <c:pt idx="22">
                  <c:v>0.18000000000000008</c:v>
                </c:pt>
                <c:pt idx="23">
                  <c:v>2.38</c:v>
                </c:pt>
                <c:pt idx="24">
                  <c:v>6.8</c:v>
                </c:pt>
                <c:pt idx="25">
                  <c:v>1.585</c:v>
                </c:pt>
                <c:pt idx="26">
                  <c:v>26.7</c:v>
                </c:pt>
                <c:pt idx="27">
                  <c:v>2.2200000000000002</c:v>
                </c:pt>
                <c:pt idx="29">
                  <c:v>0.62100000000000033</c:v>
                </c:pt>
                <c:pt idx="30">
                  <c:v>4.9000000000000004</c:v>
                </c:pt>
                <c:pt idx="31">
                  <c:v>2.2000000000000002</c:v>
                </c:pt>
                <c:pt idx="32">
                  <c:v>2.7930000000000001</c:v>
                </c:pt>
                <c:pt idx="33">
                  <c:v>4.7</c:v>
                </c:pt>
                <c:pt idx="34">
                  <c:v>4.5739000000000001</c:v>
                </c:pt>
                <c:pt idx="35">
                  <c:v>2.2890000000000001</c:v>
                </c:pt>
                <c:pt idx="37">
                  <c:v>0.11799999999999999</c:v>
                </c:pt>
                <c:pt idx="38">
                  <c:v>0.36500000000000021</c:v>
                </c:pt>
                <c:pt idx="39">
                  <c:v>0.69750000000000034</c:v>
                </c:pt>
              </c:numCache>
            </c:numRef>
          </c:val>
        </c:ser>
        <c:ser>
          <c:idx val="1"/>
          <c:order val="1"/>
          <c:tx>
            <c:strRef>
              <c:f>'все районы (2)'!$C$2</c:f>
              <c:strCache>
                <c:ptCount val="1"/>
                <c:pt idx="0">
                  <c:v>объем кондиционных семян, тыс. т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'все районы (2)'!$A$5:$A$44</c:f>
              <c:strCache>
                <c:ptCount val="40"/>
                <c:pt idx="0">
                  <c:v>Абанский</c:v>
                </c:pt>
                <c:pt idx="1">
                  <c:v>Дзержинский </c:v>
                </c:pt>
                <c:pt idx="2">
                  <c:v>Иланский</c:v>
                </c:pt>
                <c:pt idx="3">
                  <c:v>Ирбейский </c:v>
                </c:pt>
                <c:pt idx="4">
                  <c:v>Канский</c:v>
                </c:pt>
                <c:pt idx="5">
                  <c:v>Н-Ингашский</c:v>
                </c:pt>
                <c:pt idx="6">
                  <c:v>Партизанский</c:v>
                </c:pt>
                <c:pt idx="7">
                  <c:v>Рыбинский</c:v>
                </c:pt>
                <c:pt idx="8">
                  <c:v>Саянский </c:v>
                </c:pt>
                <c:pt idx="9">
                  <c:v>Тасеевский</c:v>
                </c:pt>
                <c:pt idx="10">
                  <c:v>Уярский</c:v>
                </c:pt>
                <c:pt idx="12">
                  <c:v>Балахтинский</c:v>
                </c:pt>
                <c:pt idx="13">
                  <c:v>Б-Муртинский</c:v>
                </c:pt>
                <c:pt idx="14">
                  <c:v>Берёзовский</c:v>
                </c:pt>
                <c:pt idx="15">
                  <c:v>Емельяновский</c:v>
                </c:pt>
                <c:pt idx="16">
                  <c:v>Манский</c:v>
                </c:pt>
                <c:pt idx="17">
                  <c:v>Сухобузимский</c:v>
                </c:pt>
                <c:pt idx="19">
                  <c:v>Ачинский</c:v>
                </c:pt>
                <c:pt idx="20">
                  <c:v>Боготольский</c:v>
                </c:pt>
                <c:pt idx="21">
                  <c:v>Большеулуйский</c:v>
                </c:pt>
                <c:pt idx="22">
                  <c:v>Козульский </c:v>
                </c:pt>
                <c:pt idx="23">
                  <c:v>Назаровский</c:v>
                </c:pt>
                <c:pt idx="24">
                  <c:v>Новосёловский</c:v>
                </c:pt>
                <c:pt idx="25">
                  <c:v>Тюхтетский</c:v>
                </c:pt>
                <c:pt idx="26">
                  <c:v>Ужурский</c:v>
                </c:pt>
                <c:pt idx="27">
                  <c:v>Шарыповский</c:v>
                </c:pt>
                <c:pt idx="29">
                  <c:v>Ермаковский</c:v>
                </c:pt>
                <c:pt idx="30">
                  <c:v>Идринский </c:v>
                </c:pt>
                <c:pt idx="31">
                  <c:v>Каратузский </c:v>
                </c:pt>
                <c:pt idx="32">
                  <c:v>Краснотуранский</c:v>
                </c:pt>
                <c:pt idx="33">
                  <c:v>Курагинский</c:v>
                </c:pt>
                <c:pt idx="34">
                  <c:v>Минусинский</c:v>
                </c:pt>
                <c:pt idx="35">
                  <c:v> Шушенский</c:v>
                </c:pt>
                <c:pt idx="37">
                  <c:v>Енисейский</c:v>
                </c:pt>
                <c:pt idx="38">
                  <c:v>Казачинский</c:v>
                </c:pt>
                <c:pt idx="39">
                  <c:v>Пировский</c:v>
                </c:pt>
              </c:strCache>
            </c:strRef>
          </c:cat>
          <c:val>
            <c:numRef>
              <c:f>'все районы (2)'!$C$5:$C$44</c:f>
              <c:numCache>
                <c:formatCode>0.0</c:formatCode>
                <c:ptCount val="40"/>
                <c:pt idx="0">
                  <c:v>5.3569999999999975</c:v>
                </c:pt>
                <c:pt idx="1">
                  <c:v>4.2</c:v>
                </c:pt>
                <c:pt idx="2">
                  <c:v>1.1279999999999992</c:v>
                </c:pt>
                <c:pt idx="3">
                  <c:v>1.2789999999999992</c:v>
                </c:pt>
                <c:pt idx="4">
                  <c:v>9.1479999999999997</c:v>
                </c:pt>
                <c:pt idx="5">
                  <c:v>4.24</c:v>
                </c:pt>
                <c:pt idx="6">
                  <c:v>2.4899999999999998</c:v>
                </c:pt>
                <c:pt idx="7">
                  <c:v>7.9821999999999997</c:v>
                </c:pt>
                <c:pt idx="8">
                  <c:v>1.1000000000000001</c:v>
                </c:pt>
                <c:pt idx="9">
                  <c:v>3.3</c:v>
                </c:pt>
                <c:pt idx="10">
                  <c:v>0.77900000000000003</c:v>
                </c:pt>
                <c:pt idx="12">
                  <c:v>6.3</c:v>
                </c:pt>
                <c:pt idx="13">
                  <c:v>2.488</c:v>
                </c:pt>
                <c:pt idx="14">
                  <c:v>0.13</c:v>
                </c:pt>
                <c:pt idx="15">
                  <c:v>2.66</c:v>
                </c:pt>
                <c:pt idx="16">
                  <c:v>9.2000000000000026E-2</c:v>
                </c:pt>
                <c:pt idx="17">
                  <c:v>4</c:v>
                </c:pt>
                <c:pt idx="19">
                  <c:v>0.5</c:v>
                </c:pt>
                <c:pt idx="20">
                  <c:v>0.6920000000000005</c:v>
                </c:pt>
                <c:pt idx="21">
                  <c:v>0.10199999999999998</c:v>
                </c:pt>
                <c:pt idx="22">
                  <c:v>0</c:v>
                </c:pt>
                <c:pt idx="23">
                  <c:v>0</c:v>
                </c:pt>
                <c:pt idx="24">
                  <c:v>6</c:v>
                </c:pt>
                <c:pt idx="25">
                  <c:v>0.41500000000000015</c:v>
                </c:pt>
                <c:pt idx="26">
                  <c:v>24.8</c:v>
                </c:pt>
                <c:pt idx="27">
                  <c:v>0.30000000000000016</c:v>
                </c:pt>
                <c:pt idx="29">
                  <c:v>0.62100000000000033</c:v>
                </c:pt>
                <c:pt idx="30">
                  <c:v>3.07</c:v>
                </c:pt>
                <c:pt idx="31">
                  <c:v>1.8</c:v>
                </c:pt>
                <c:pt idx="32">
                  <c:v>0.46800000000000008</c:v>
                </c:pt>
                <c:pt idx="33">
                  <c:v>2.7</c:v>
                </c:pt>
                <c:pt idx="34">
                  <c:v>3.9091499999999986</c:v>
                </c:pt>
                <c:pt idx="35">
                  <c:v>2.2890000000000001</c:v>
                </c:pt>
                <c:pt idx="37">
                  <c:v>0.11799999999999999</c:v>
                </c:pt>
                <c:pt idx="38">
                  <c:v>0.36500000000000021</c:v>
                </c:pt>
                <c:pt idx="39">
                  <c:v>0.69750000000000034</c:v>
                </c:pt>
              </c:numCache>
            </c:numRef>
          </c:val>
        </c:ser>
        <c:axId val="101271808"/>
        <c:axId val="101388288"/>
      </c:barChart>
      <c:catAx>
        <c:axId val="101271808"/>
        <c:scaling>
          <c:orientation val="minMax"/>
        </c:scaling>
        <c:axPos val="b"/>
        <c:tickLblPos val="nextTo"/>
        <c:txPr>
          <a:bodyPr rot="-3000000"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1388288"/>
        <c:crosses val="autoZero"/>
        <c:auto val="1"/>
        <c:lblAlgn val="ctr"/>
        <c:lblOffset val="100"/>
      </c:catAx>
      <c:valAx>
        <c:axId val="10138828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50">
                    <a:latin typeface="Times New Roman" pitchFamily="18" charset="0"/>
                    <a:cs typeface="Times New Roman" pitchFamily="18" charset="0"/>
                  </a:rPr>
                  <a:t>объем, тыс. т</a:t>
                </a:r>
              </a:p>
            </c:rich>
          </c:tx>
          <c:layout>
            <c:manualLayout>
              <c:xMode val="edge"/>
              <c:yMode val="edge"/>
              <c:x val="8.5985777362163323E-4"/>
              <c:y val="1.7069405580500793E-2"/>
            </c:manualLayout>
          </c:layout>
        </c:title>
        <c:numFmt formatCode="0" sourceLinked="0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12718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6579536844060017"/>
          <c:y val="0.94849677881173933"/>
          <c:w val="0.66840909731514186"/>
          <c:h val="5.1503221188260569E-2"/>
        </c:manualLayout>
      </c:layout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0.05053</cdr:x>
      <cdr:y>0.07343</cdr:y>
    </cdr:from>
    <cdr:to>
      <cdr:x>0.98462</cdr:x>
      <cdr:y>0.15734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00519" y="400051"/>
          <a:ext cx="9253081" cy="45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l"/>
          <a:r>
            <a:rPr lang="ru-RU" sz="1100" b="1">
              <a:latin typeface="Times New Roman" pitchFamily="18" charset="0"/>
              <a:cs typeface="Times New Roman" pitchFamily="18" charset="0"/>
            </a:rPr>
            <a:t>Восточная зона		Центральная зона	Западная</a:t>
          </a:r>
          <a:r>
            <a:rPr lang="ru-RU" sz="1100" b="1" baseline="0">
              <a:latin typeface="Times New Roman" pitchFamily="18" charset="0"/>
              <a:cs typeface="Times New Roman" pitchFamily="18" charset="0"/>
            </a:rPr>
            <a:t> зона		                Южная 	Северная </a:t>
          </a:r>
          <a:br>
            <a:rPr lang="ru-RU" sz="1100" b="1" baseline="0">
              <a:latin typeface="Times New Roman" pitchFamily="18" charset="0"/>
              <a:cs typeface="Times New Roman" pitchFamily="18" charset="0"/>
            </a:rPr>
          </a:br>
          <a:r>
            <a:rPr lang="ru-RU" sz="1100" b="1" baseline="0">
              <a:latin typeface="Times New Roman" pitchFamily="18" charset="0"/>
              <a:cs typeface="Times New Roman" pitchFamily="18" charset="0"/>
            </a:rPr>
            <a:t>							                  зона		   зона</a:t>
          </a:r>
          <a:endParaRPr lang="ru-RU" sz="11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61B74-3CE4-449A-A43D-AD815670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Андрей Владимирович Краснощеков</cp:lastModifiedBy>
  <cp:revision>2</cp:revision>
  <dcterms:created xsi:type="dcterms:W3CDTF">2020-01-30T07:28:00Z</dcterms:created>
  <dcterms:modified xsi:type="dcterms:W3CDTF">2020-01-30T07:28:00Z</dcterms:modified>
</cp:coreProperties>
</file>